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E337DC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E85FC8" w14:paraId="2E337DBF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Merkantil Konsulent</w:t>
            </w:r>
            <w:r>
              <w:rPr>
                <w:sz w:val="24"/>
              </w:rPr>
              <w:fldChar w:fldCharType="end"/>
            </w:r>
          </w:p>
        </w:tc>
      </w:tr>
    </w:tbl>
    <w:p w:rsidR="00E85FC8" w14:paraId="2E337DC1" w14:textId="77777777">
      <w:pPr>
        <w:rPr>
          <w:sz w:val="16"/>
        </w:rPr>
      </w:pPr>
    </w:p>
    <w:tbl>
      <w:tblPr>
        <w:tblW w:w="5036" w:type="pct"/>
        <w:tblCellMar>
          <w:left w:w="101" w:type="dxa"/>
          <w:right w:w="101" w:type="dxa"/>
        </w:tblCellMar>
        <w:tblLook w:val="00A0"/>
      </w:tblPr>
      <w:tblGrid>
        <w:gridCol w:w="1347"/>
        <w:gridCol w:w="1776"/>
        <w:gridCol w:w="2233"/>
        <w:gridCol w:w="4164"/>
      </w:tblGrid>
      <w:tr w14:paraId="2E337DC3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C2" w14:textId="77777777">
            <w:pPr>
              <w:pStyle w:val="Heading7"/>
            </w:pPr>
            <w:r>
              <w:t>Grunndata</w:t>
            </w:r>
          </w:p>
        </w:tc>
      </w:tr>
      <w:tr w14:paraId="2E337DC8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5FC8" w14:paraId="2E337DC4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93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C5" w14:textId="77777777">
            <w:r>
              <w:t>Administrasjon</w:t>
            </w:r>
          </w:p>
        </w:tc>
        <w:tc>
          <w:tcPr>
            <w:tcW w:w="117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FC8" w14:paraId="2E337DC6" w14:textId="77777777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218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C7" w14:textId="77777777">
            <w:r>
              <w:t>Avdelingsleder ADM</w:t>
            </w:r>
          </w:p>
        </w:tc>
      </w:tr>
      <w:tr w14:paraId="2E337DCD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5FC8" w14:paraId="2E337DC9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9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FC8" w14:paraId="2E337DCA" w14:textId="77777777">
            <w:r>
              <w:t>Ingen</w:t>
            </w:r>
          </w:p>
        </w:tc>
        <w:tc>
          <w:tcPr>
            <w:tcW w:w="1173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85FC8" w14:paraId="2E337DCB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218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FC8" w14:paraId="2E337DCC" w14:textId="77777777">
            <w:r>
              <w:t>Merkantil Førstekonsulent I</w:t>
            </w:r>
          </w:p>
        </w:tc>
      </w:tr>
      <w:tr w14:paraId="2E337DD0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85FC8" w14:paraId="2E337DCE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29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5FC8" w14:paraId="2E337DCF" w14:textId="77777777">
            <w:r>
              <w:t xml:space="preserve">De enkelte stillinger må ses i </w:t>
            </w:r>
            <w:r>
              <w:t>sammenheng slik at de sammen dekker skolens totale behov. Stillingsinnehaveren er i tillegg, som alle andre administrative stillinger, pålagt utvidet taushetsplikt. Taushetserklæring (se kryssreferanse)</w:t>
            </w:r>
            <w:r>
              <w:rPr>
                <w:color w:val="000080"/>
              </w:rPr>
              <w:t xml:space="preserve"> </w:t>
            </w:r>
            <w:r>
              <w:t>skal signeres og følge som vedlegg til denne stillingsinstruks.</w:t>
            </w:r>
          </w:p>
        </w:tc>
      </w:tr>
      <w:tr w14:paraId="2E337DD3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85FC8" w14:paraId="2E337DD1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29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5FC8" w14:paraId="2E337DD2" w14:textId="77777777">
            <w:r>
              <w:t>I henhold til personalpolitiske retningslinjer, tas det forbehold om endringer i instruksen.  Stillingsinnehaver følger ordinær arbeidstid.</w:t>
            </w:r>
          </w:p>
        </w:tc>
      </w:tr>
      <w:tr w14:paraId="2E337DD5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D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2E337DD9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D6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 xml:space="preserve">Utføre administrative </w:t>
            </w:r>
            <w:r>
              <w:t>arbeidsoppgaver innenfor skolens virksomhetsområder.</w:t>
            </w:r>
          </w:p>
          <w:p w:rsidR="00E85FC8" w14:paraId="2E337DD7" w14:textId="77777777">
            <w:pPr>
              <w:tabs>
                <w:tab w:val="left" w:pos="-720"/>
              </w:tabs>
              <w:suppressAutoHyphens/>
              <w:rPr>
                <w:b/>
                <w:sz w:val="4"/>
              </w:rPr>
            </w:pPr>
          </w:p>
          <w:p w:rsidR="00E85FC8" w14:paraId="2E337DD8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</w:rPr>
              <w:t xml:space="preserve">På vegne av </w:t>
            </w:r>
            <w:r>
              <w:t>skolens ledelse, være ansvarlig for å gi god og riktig informasjon til de som henvender seg til skolens administrasjon.</w:t>
            </w:r>
          </w:p>
        </w:tc>
      </w:tr>
      <w:tr w14:paraId="2E337DDB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D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2E337DEF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DC" w14:textId="77777777"/>
          <w:p w:rsidR="00C60959" w:rsidP="00555FE6" w14:paraId="2E337DDD" w14:textId="77777777">
            <w:r>
              <w:t xml:space="preserve">Diverse arbeid i </w:t>
            </w:r>
            <w:r>
              <w:t>regnskapsprogram (for tiden VISMA):</w:t>
            </w:r>
          </w:p>
          <w:p w:rsidR="00C60959" w:rsidP="00555FE6" w14:paraId="2E337DDE" w14:textId="77777777">
            <w:r>
              <w:t xml:space="preserve">     Kontering/kontroll av inngående faktura</w:t>
            </w:r>
          </w:p>
          <w:p w:rsidR="00C60959" w:rsidP="00555FE6" w14:paraId="2E337DDF" w14:textId="77777777">
            <w:r>
              <w:t xml:space="preserve">     Attestering av inngående faktura</w:t>
            </w:r>
          </w:p>
          <w:p w:rsidR="00C60959" w:rsidP="00555FE6" w14:paraId="2E337DE0" w14:textId="77777777">
            <w:r>
              <w:t xml:space="preserve">     Dannelse av diverse elektroniske bilag (Ebilag)</w:t>
            </w:r>
          </w:p>
          <w:p w:rsidR="00C60959" w:rsidP="00555FE6" w14:paraId="2E337DE1" w14:textId="77777777">
            <w:r>
              <w:t xml:space="preserve">     Bestillinger</w:t>
            </w:r>
          </w:p>
          <w:p w:rsidR="00C60959" w:rsidP="00555FE6" w14:paraId="2E337DE2" w14:textId="77777777">
            <w:r>
              <w:t xml:space="preserve">     Varemottak</w:t>
            </w:r>
          </w:p>
          <w:p w:rsidR="00C60959" w:rsidP="00555FE6" w14:paraId="2E337DE3" w14:textId="77777777"/>
          <w:p w:rsidR="00C60959" w:rsidP="00555FE6" w14:paraId="2E337DE4" w14:textId="77777777"/>
          <w:p w:rsidR="00E85FC8" w:rsidP="00555FE6" w14:paraId="2E337DE5" w14:textId="51C9FA40">
            <w:r>
              <w:t>B</w:t>
            </w:r>
            <w:r w:rsidR="00555FE6">
              <w:t xml:space="preserve">istand ved kantineoppgjør ved behov, elevutplasseringer, </w:t>
            </w:r>
            <w:r>
              <w:t xml:space="preserve">fotografering, </w:t>
            </w:r>
            <w:r w:rsidR="00555FE6">
              <w:t>reiseregninger og utlegg, førstehjelps</w:t>
            </w:r>
            <w:r w:rsidR="007A3170">
              <w:t>- og rekvisitainnkjøp</w:t>
            </w:r>
            <w:r w:rsidR="00555FE6">
              <w:t>, kontakt med adhoc leverandører</w:t>
            </w:r>
            <w:r>
              <w:t>, fagprøvekandidater.</w:t>
            </w:r>
            <w:r w:rsidR="007A3170">
              <w:br/>
            </w:r>
            <w:r w:rsidR="007A3170">
              <w:br/>
            </w:r>
            <w:r w:rsidR="00555FE6">
              <w:t xml:space="preserve">Superbruker </w:t>
            </w:r>
            <w:r>
              <w:t>Elektronisk Arkiveringssystem</w:t>
            </w:r>
            <w:r w:rsidR="00555FE6">
              <w:t xml:space="preserve">. Inn- og utgående post. </w:t>
            </w:r>
            <w:r w:rsidR="007A3170">
              <w:t>Skolekort, gjesteparkering. Ajourhold informasjontavler og – arkiv,</w:t>
            </w:r>
            <w:r>
              <w:t xml:space="preserve"> </w:t>
            </w:r>
            <w:r w:rsidR="007A3170">
              <w:t xml:space="preserve">posthyller. </w:t>
            </w:r>
          </w:p>
          <w:p w:rsidR="00555FE6" w:rsidP="00555FE6" w14:paraId="2E337DE6" w14:textId="77777777"/>
          <w:p w:rsidR="00555FE6" w:rsidP="00555FE6" w14:paraId="2E337DE7" w14:textId="77777777">
            <w:r>
              <w:t>Kontakt på telefon med interessenter, og betjening av resepsjon.</w:t>
            </w:r>
          </w:p>
          <w:p w:rsidR="00E85FC8" w14:paraId="2E337DE8" w14:textId="77777777"/>
          <w:p w:rsidR="00E85FC8" w14:paraId="2E337DE9" w14:textId="77777777">
            <w:r>
              <w:t>Delegert ansvar for utførelse av diverse oppgaver i forbindelse med eksamensavvikling</w:t>
            </w:r>
            <w:r w:rsidR="007A3170">
              <w:t xml:space="preserve"> (praktisk tilrettelegging)</w:t>
            </w:r>
            <w:r>
              <w:t>.</w:t>
            </w:r>
          </w:p>
          <w:p w:rsidR="00E85FC8" w14:paraId="2E337DEA" w14:textId="77777777"/>
          <w:p w:rsidR="00E85FC8" w14:paraId="2E337DEB" w14:textId="30570D5E">
            <w:r>
              <w:t>Ansvar for åpning av resepsjon, og sjekk av fraværstelefon.</w:t>
            </w:r>
            <w:r>
              <w:br/>
            </w:r>
            <w:r>
              <w:br/>
              <w:t>Bistand i Ks-system</w:t>
            </w:r>
          </w:p>
          <w:p w:rsidR="00C60959" w14:paraId="2E337DEC" w14:textId="77777777"/>
          <w:p w:rsidR="00C60959" w14:paraId="2E337DED" w14:textId="77777777">
            <w:r>
              <w:t xml:space="preserve">Andre merkantile </w:t>
            </w:r>
            <w:r>
              <w:t>arbeidsoppgaver etter behov.</w:t>
            </w:r>
          </w:p>
          <w:p w:rsidR="00E85FC8" w14:paraId="2E337DEE" w14:textId="77777777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</w:pPr>
          </w:p>
        </w:tc>
      </w:tr>
      <w:tr w14:paraId="2E337DF1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F0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2E337DF3" w14:textId="77777777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5FC8" w14:paraId="2E337DF2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 </w:t>
            </w:r>
            <w:r w:rsidR="00555FE6">
              <w:rPr>
                <w:bCs/>
                <w:iCs/>
                <w:color w:val="000080"/>
              </w:rPr>
              <w:t>Beslutninger på nivå innenfor sentrale arbeidsoppgaver</w:t>
            </w:r>
          </w:p>
        </w:tc>
      </w:tr>
      <w:tr w14:paraId="2E337DF5" w14:textId="77777777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F4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>Økonomiske disposisjoner og anskaffelser.</w:t>
            </w:r>
          </w:p>
        </w:tc>
      </w:tr>
      <w:tr w14:paraId="2E337DF7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F6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internt med:</w:t>
            </w:r>
            <w:r>
              <w:rPr>
                <w:bCs/>
                <w:iCs/>
                <w:color w:val="000080"/>
              </w:rPr>
              <w:t xml:space="preserve">   </w:t>
            </w:r>
            <w:r w:rsidR="00555FE6">
              <w:t>S</w:t>
            </w:r>
            <w:r>
              <w:t>kolens ansatte, elever og kursdeltakere.</w:t>
            </w:r>
          </w:p>
        </w:tc>
      </w:tr>
      <w:tr w14:paraId="2E337DF9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F8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med:</w:t>
            </w:r>
            <w:r>
              <w:rPr>
                <w:bCs/>
                <w:iCs/>
                <w:color w:val="000080"/>
              </w:rPr>
              <w:t xml:space="preserve">  </w:t>
            </w:r>
            <w:r w:rsidR="00862C0D">
              <w:rPr>
                <w:bCs/>
                <w:iCs/>
              </w:rPr>
              <w:t>VLFK</w:t>
            </w:r>
            <w:r>
              <w:rPr>
                <w:bCs/>
                <w:iCs/>
              </w:rPr>
              <w:t xml:space="preserve"> sentraladministrasjon etter avtale.</w:t>
            </w:r>
          </w:p>
        </w:tc>
      </w:tr>
      <w:tr w14:paraId="2E337DFB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F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2E337DFF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E85FC8" w14:paraId="2E337DFC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293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85FC8" w14:paraId="2E337DFD" w14:textId="77777777">
            <w:r>
              <w:t xml:space="preserve">God muntlig/ </w:t>
            </w:r>
            <w:r>
              <w:t>skriftlig fremstillingsevne, være fleksibel og like teamarbeid.</w:t>
            </w:r>
          </w:p>
          <w:p w:rsidR="00E85FC8" w14:paraId="2E337DFE" w14:textId="77777777">
            <w:pPr>
              <w:rPr>
                <w:color w:val="000000"/>
              </w:rPr>
            </w:pPr>
            <w:r>
              <w:t>Kontorfaglig utdanning med relevant fagbrev.</w:t>
            </w:r>
          </w:p>
        </w:tc>
      </w:tr>
      <w:tr w14:paraId="2E337E02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6" w:space="0" w:color="000000"/>
              <w:left w:val="single" w:sz="6" w:space="0" w:color="auto"/>
              <w:bottom w:val="double" w:sz="4" w:space="0" w:color="auto"/>
            </w:tcBorders>
          </w:tcPr>
          <w:p w:rsidR="00E85FC8" w14:paraId="2E337E00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293" w:type="pct"/>
            <w:gridSpan w:val="3"/>
            <w:tcBorders>
              <w:top w:val="single" w:sz="6" w:space="0" w:color="000000"/>
              <w:bottom w:val="double" w:sz="4" w:space="0" w:color="auto"/>
              <w:right w:val="single" w:sz="6" w:space="0" w:color="auto"/>
            </w:tcBorders>
          </w:tcPr>
          <w:p w:rsidR="00E85FC8" w:rsidP="00555FE6" w14:paraId="2E337E01" w14:textId="77777777">
            <w:r>
              <w:t xml:space="preserve">Relevant yrkeserfaring, </w:t>
            </w:r>
            <w:r>
              <w:rPr>
                <w:color w:val="000000"/>
              </w:rPr>
              <w:t>skolefaglig innsikt og e</w:t>
            </w:r>
            <w:r>
              <w:t xml:space="preserve">rfaring fra skoleadministrasjon. Kompetanse innen administrativ databehandling generelt, spesielt fakturering, regnskapsrutiner, innkjøp, registrering etc. </w:t>
            </w:r>
          </w:p>
        </w:tc>
      </w:tr>
    </w:tbl>
    <w:p w:rsidR="00E85FC8" w14:paraId="2E337E03" w14:textId="77777777">
      <w:pPr>
        <w:pStyle w:val="Normal2pt"/>
      </w:pPr>
    </w:p>
    <w:p w:rsidR="00E85FC8" w14:paraId="2E337E04" w14:textId="77777777">
      <w:pPr>
        <w:pStyle w:val="Punktheading"/>
      </w:pPr>
      <w:r>
        <w:t>Kryssreferanser</w:t>
      </w:r>
    </w:p>
    <w:p w:rsidR="00555FE6" w:rsidP="00555FE6" w14:paraId="2E337E05" w14:textId="77777777"/>
    <w:p w:rsidR="00555FE6" w:rsidRPr="00555FE6" w:rsidP="00555FE6" w14:paraId="2E337E06" w14:textId="77777777">
      <w:r>
        <w:t>Adm 4.4-01 Stillingsinstruks Merkantil Førstekonsulent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E85FC8" w14:paraId="2E337E0A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E85FC8" w:rsidRPr="005A4009" w14:paraId="2E337E0D" w14:textId="77777777">
      <w:pPr>
        <w:pStyle w:val="Normal2pt"/>
        <w:rPr>
          <w:lang w:val="en-US"/>
        </w:rPr>
      </w:pPr>
      <w:bookmarkEnd w:id="2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5013" w14:paraId="2E337E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E337E19" w14:textId="77777777" w:rsidTr="003F64C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78724F" w:rsidP="003F64CD" w14:paraId="2E337E16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78724F" w:rsidP="003F64CD" w14:paraId="2E337E17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1.05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78724F" w:rsidP="003F64CD" w14:paraId="2E337E18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KS2017.2.1.4-15</w:t>
          </w:r>
          <w:r>
            <w:rPr>
              <w:i/>
            </w:rPr>
            <w:fldChar w:fldCharType="end"/>
          </w:r>
        </w:p>
      </w:tc>
    </w:tr>
    <w:tr w14:paraId="2E337E1D" w14:textId="77777777" w:rsidTr="003F64C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78724F" w:rsidP="003F64CD" w14:paraId="2E337E1A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78724F" w:rsidP="003F64CD" w14:paraId="2E337E1B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78724F" w:rsidP="003F64CD" w14:paraId="2E337E1C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F111E2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F111E2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78724F" w:rsidP="0078724F" w14:paraId="2E337E1E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5013" w14:paraId="2E337E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5013" w14:paraId="2E337E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E337E1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86D70" w:rsidRPr="0051404E" w:rsidP="008348DF" w14:paraId="2E337E0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86D70" w:rsidRPr="00CC5637" w:rsidP="00CF0DEE" w14:paraId="2E337E10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86D70" w:rsidRPr="0051404E" w:rsidP="008348DF" w14:paraId="2E337E1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86D70" w:rsidP="008348DF" w14:paraId="2E337E1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8724F" w:rsidP="00D86D70" w14:paraId="2E337E14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FC8" w14:paraId="2E337E1F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19F80623"/>
    <w:multiLevelType w:val="hybridMultilevel"/>
    <w:tmpl w:val="593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1321A"/>
    <w:multiLevelType w:val="hybridMultilevel"/>
    <w:tmpl w:val="877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462EC2"/>
    <w:multiLevelType w:val="hybridMultilevel"/>
    <w:tmpl w:val="217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E5076"/>
    <w:multiLevelType w:val="hybridMultilevel"/>
    <w:tmpl w:val="2BEC809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340858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1376395364">
    <w:abstractNumId w:val="2"/>
  </w:num>
  <w:num w:numId="3" w16cid:durableId="820122750">
    <w:abstractNumId w:val="4"/>
  </w:num>
  <w:num w:numId="4" w16cid:durableId="1020162585">
    <w:abstractNumId w:val="3"/>
  </w:num>
  <w:num w:numId="5" w16cid:durableId="68544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C8"/>
    <w:rsid w:val="00055F8F"/>
    <w:rsid w:val="000E67E3"/>
    <w:rsid w:val="00131E8C"/>
    <w:rsid w:val="002177EA"/>
    <w:rsid w:val="002A5013"/>
    <w:rsid w:val="002B6643"/>
    <w:rsid w:val="002D28D4"/>
    <w:rsid w:val="003763DC"/>
    <w:rsid w:val="003F64CD"/>
    <w:rsid w:val="0051404E"/>
    <w:rsid w:val="00555FE6"/>
    <w:rsid w:val="005A4009"/>
    <w:rsid w:val="005B56C3"/>
    <w:rsid w:val="005F5A3A"/>
    <w:rsid w:val="0069762D"/>
    <w:rsid w:val="00716B27"/>
    <w:rsid w:val="0078724F"/>
    <w:rsid w:val="007A3170"/>
    <w:rsid w:val="008348DF"/>
    <w:rsid w:val="00862C0D"/>
    <w:rsid w:val="0093124D"/>
    <w:rsid w:val="009329EE"/>
    <w:rsid w:val="0097230C"/>
    <w:rsid w:val="00A353BC"/>
    <w:rsid w:val="00A50ECD"/>
    <w:rsid w:val="00B90A4A"/>
    <w:rsid w:val="00C60959"/>
    <w:rsid w:val="00CC5637"/>
    <w:rsid w:val="00CF0DEE"/>
    <w:rsid w:val="00D86D70"/>
    <w:rsid w:val="00E85FC8"/>
    <w:rsid w:val="00EC17E7"/>
    <w:rsid w:val="00F111E2"/>
    <w:rsid w:val="00FB5B23"/>
    <w:rsid w:val="00FF0DA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11|KS-OD.A.a.11|"/>
    <w:docVar w:name="DokTittel" w:val="Stillingsinstruks for Førstesekretæ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30.04.2019¤3#EK_KlGjelderFra¤2#0¤2#¤3#EK_Opprettet¤2#0¤2#10.01.2008¤3#EK_Utgitt¤2#0¤2#06.03.2018¤3#EK_IBrukDato¤2#0¤2#30.04.2019¤3#EK_DokumentID¤2#0¤2#D00500¤3#EK_DokTittel¤2#0¤2#Stillingsinstruks - Merkantil Konsulent¤3#EK_DokType¤2#0¤2#Stillingsinstruks¤3#EK_DocLvlShort¤2#0¤2# ¤3#EK_DocLevel¤2#0¤2# ¤3#EK_EksRef¤2#2¤2# 1_x0009_STD.DNV-MA.2.1.2_x0009_Responsibility and authority_x0009_00101_x0009_https://ek.vlfk.no/eknet/docpage.aspx?docid=x101_x0009_¤1#¤3#EK_Erstatter¤2#0¤2#1.03¤3#EK_ErstatterD¤2#0¤2#12.04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10¤3#EK_Revisjon¤2#0¤2#1.04¤3#EK_Ansvarlig¤2#0¤2#Eirik Ørn¤3#EK_SkrevetAv¤2#0¤2#Eirik Ørn¤3#EK_UText1¤2#0¤2# ¤3#EK_UText2¤2#0¤2# ¤3#EK_UText3¤2#0¤2# ¤3#EK_UText4¤2#0¤2# ¤3#EK_Status¤2#0¤2#I bruk¤3#EK_Stikkord¤2#0¤2#MA 2.1.2¤3#EK_SuperStikkord¤2#0¤2#¤3#EK_Rapport¤2#3¤2#¤3#EK_EKPrintMerke¤2#0¤2#Uoffisiell utskrift er kun gyldig på utskriftsdato¤3#EK_Watermark¤2#0¤2#¤3#EK_Utgave¤2#0¤2#1.04¤3#EK_Merknad¤2#7¤2#¤3#EK_VerLogg¤2#2¤2#Ver. 1.04 - 30.04.2019|¤1#Ver. 1.03 - 12.04.2019|¤1#Ver. 1.02 - 12.04.2019|¤1#Ver. 1.01 - 11.04.2019|¤1#Ver. 1.00 - 06.03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0¤3#EK_GjelderTil¤2#0¤2#30.04.2020¤3#EK_Vedlegg¤2#2¤2# 0_x0009_¤3#EK_AvdelingOver¤2#4¤2# ¤3#EK_HRefNr¤2#0¤2# ¤3#EK_HbNavn¤2#0¤2# ¤3#EK_DokRefnr¤2#4¤2#0001020102¤3#EK_Dokendrdato¤2#4¤2#04.12.2020 12:33:25¤3#EK_HbType¤2#4¤2# ¤3#EK_Offisiell¤2#4¤2# ¤3#EK_VedleggRef¤2#4¤2#-KS-2.1.2-10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0"/>
    <w:docVar w:name="ek_doclevel" w:val=" "/>
    <w:docVar w:name="ek_doclvlshort" w:val=" "/>
    <w:docVar w:name="ek_doktittel" w:val="Stillingsinstruks - Merkantil Konsulent"/>
    <w:docVar w:name="ek_erstatter" w:val="1.03"/>
    <w:docVar w:name="ek_erstatterd" w:val="12.04.2019"/>
    <w:docVar w:name="ek_format" w:val="-10"/>
    <w:docVar w:name="ek_gjelderfra" w:val="30.04.2019"/>
    <w:docVar w:name="ek_gjeldertil" w:val="30.04.2020"/>
    <w:docVar w:name="ek_hbnavn" w:val=" "/>
    <w:docVar w:name="ek_hrefnr" w:val=" "/>
    <w:docVar w:name="ek_hørt" w:val=" "/>
    <w:docVar w:name="ek_ibrukdato" w:val="30.04.2019"/>
    <w:docVar w:name="ek_refnr" w:val="-KS-2.1.2-10"/>
    <w:docVar w:name="ek_revisjon" w:val="1.04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.04"/>
    <w:docVar w:name="ek_utgitt" w:val="06.03.2018"/>
    <w:docVar w:name="ek_verifisert" w:val=" "/>
    <w:docVar w:name="Erstatter" w:val="lab_erstatter"/>
    <w:docVar w:name="GjelderFra" w:val="12.01.04"/>
    <w:docVar w:name="ideksref" w:val=";00017;00101;"/>
    <w:docVar w:name="idek_eksref" w:val=";00101;"/>
    <w:docVar w:name="idreferanse" w:val=";00006;00096;00278;"/>
    <w:docVar w:name="idxr" w:val=";00101;"/>
    <w:docVar w:name="KHB" w:val="UB"/>
    <w:docVar w:name="Referanse" w:val=" 3_x0009_KS-ISO.4.2.2_x0009_Organisasjonskart_x0009_dok00006_x0001_KS-OD.A.b.1_x0009_Arbeidstidsreglement for ikke-pedagogisk personell_x0009_dok00096_x0001_KS-OD.A.f.1_x0009_Fråsegn om teieplikt for fast tilsette og vikarar (Tausleikserklæring)_x0009_dok00278_x0001_"/>
    <w:docVar w:name="RefNr" w:val="KS-OD.A.a.11"/>
    <w:docVar w:name="Signatur" w:val="Bjørn Kr. Jæger"/>
    <w:docVar w:name="skitten" w:val="0"/>
    <w:docVar w:name="SkrevetAv" w:val="Bjørn Garnes"/>
    <w:docVar w:name="tidek_eksref" w:val=";00101;"/>
    <w:docVar w:name="tidek_vedlegg" w:val="--"/>
    <w:docVar w:name="Tittel" w:val="Dette er en Test tittel."/>
    <w:docVar w:name="Utgave" w:val="4.00"/>
    <w:docVar w:name="Vedlegg" w:val=" 0_x0009_"/>
    <w:docVar w:name="XD00006" w:val="[KS-ISO.4.2.2]"/>
    <w:docVar w:name="XD00096" w:val="[KS-OD.A.b.1]"/>
    <w:docVar w:name="XD00278" w:val="[KS-OD.A.f.1]"/>
    <w:docVar w:name="XDL00006" w:val="[KS-ISO.4.2.2 - Organisasjonskart]"/>
    <w:docVar w:name="XDL00096" w:val="[KS-OD.A.b.1 - Arbeidstidsreglement for ikke-pedagogisk personell]"/>
    <w:docVar w:name="XDL00278" w:val="[KS-OD.A.f.1 - Fråsegn om teieplikt for fast tilsette og vikarar (Tausleikserklæring)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337DBF"/>
  <w15:docId w15:val="{73C96D24-6404-4960-9609-9BD7699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ind w:right="-103"/>
    </w:pPr>
    <w:rPr>
      <w:b/>
      <w:i/>
      <w:color w:val="000080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character" w:customStyle="1" w:styleId="normal1">
    <w:name w:val="normal1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BalloonText">
    <w:name w:val="Balloon Text"/>
    <w:basedOn w:val="Normal"/>
    <w:link w:val="BobletekstTegn"/>
    <w:rsid w:val="00862C0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86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302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Stillingsinstruks - Konsulent NY</vt:lpstr>
    </vt:vector>
  </TitlesOfParts>
  <Company>Datakvalitet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Merkantil Konsulent</dc:title>
  <dc:subject>0001020102|-KS-2.1.2-10|</dc:subject>
  <dc:creator>Opplæringsavdelinga</dc:creator>
  <dc:description>EK_Avdeling_x0002_4_x0002_ _x0003_EK_Avsnitt_x0002_4_x0002_ _x0003_EK_Bedriftsnavn_x0002_1_x0002_Laksevåg og Bergen Maritime Vgs_x0003_EK_GjelderFra_x0002_0_x0002_30.04.2019_x0003_EK_KlGjelderFra_x0002_0_x0002__x0003_EK_Opprettet_x0002_0_x0002_10.01.2008_x0003_EK_Utgitt_x0002_0_x0002_06.03.2018_x0003_EK_IBrukDato_x0002_0_x0002_30.04.2019_x0003_EK_DokumentID_x0002_0_x0002_D00500_x0003_EK_DokTittel_x0002_0_x0002_Stillingsinstruks - Merkantil Konsulent_x0003_EK_DokType_x0002_0_x0002_Stillingsinstruks_x0003_EK_DocLvlShort_x0002_0_x0002_ _x0003_EK_DocLevel_x0002_0_x0002_ _x0003_EK_EksRef_x0002_2_x0002_ 1	STD.DNV-MA.2.1.2	Responsibility and authority	00101	https://ek.vlfk.no/eknet/docpage.aspx?docid=x101	_x0001__x0003_EK_Erstatter_x0002_0_x0002_1.03_x0003_EK_ErstatterD_x0002_0_x0002_12.04.2019_x0003_EK_Signatur_x0002_0_x0002_Jan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_x0003_EK_RefNr_x0002_0_x0002_-KS-2.1.2-10_x0003_EK_Revisjon_x0002_0_x0002_1.04_x0003_EK_Ansvarlig_x0002_0_x0002_Eirik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2.1.2_x0003_EK_SuperStikkord_x0002_0_x0002__x0003_EK_Rapport_x0002_3_x0002__x0003_EK_EKPrintMerke_x0002_0_x0002_Uoffisiell utskrift er kun gyldig på utskriftsdato_x0003_EK_Watermark_x0002_0_x0002__x0003_EK_Utgave_x0002_0_x0002_1.04_x0003_EK_Merknad_x0002_7_x0002__x0003_EK_VerLogg_x0002_2_x0002_Ver. 1.04 - 30.04.2019|_x0001_Ver. 1.03 - 12.04.2019|_x0001_Ver. 1.02 - 12.04.2019|_x0001_Ver. 1.01 - 11.04.2019|_x0001_Ver. 1.00 - 06.03.2018|_x0003_EK_RF1_x0002_4_x0002_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_x0003_EK_DL_x0002_0_x0002_10_x0003_EK_GjelderTil_x0002_0_x0002_30.04.2020_x0003_EK_Vedlegg_x0002_2_x0002_ 0	_x0003_EK_AvdelingOver_x0002_4_x0002_ _x0003_EK_HRefNr_x0002_0_x0002_ _x0003_EK_HbNavn_x0002_0_x0002_ _x0003_EK_DokRefnr_x0002_4_x0002_0001020102_x0003_EK_Dokendrdato_x0002_4_x0002_04.12.2020 12:33:25_x0003_EK_HbType_x0002_4_x0002_ _x0003_EK_Offisiell_x0002_4_x0002_ _x0003_EK_VedleggRef_x0002_4_x0002_-KS-2.1.2-10_x0003_EK_Strukt00_x0002_5_x0002_-_x0005_KS_x0005_KVALITETSSYSTEM_x0005_1_x0005_0_x0004_-_x0005_2_x0005_GENERELT_x0005_0_x0005_0_x0004_._x0005_1_x0005_Ledelsens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2004-03-22T08:40:00Z</cp:lastPrinted>
  <dcterms:created xsi:type="dcterms:W3CDTF">2021-02-02T15:54:00Z</dcterms:created>
  <dcterms:modified xsi:type="dcterms:W3CDTF">2025-02-24T19:19:00Z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Merkantil Konsulent</vt:lpwstr>
  </property>
  <property fmtid="{D5CDD505-2E9C-101B-9397-08002B2CF9AE}" pid="3" name="EK_GjelderFra">
    <vt:lpwstr>24.02.2025</vt:lpwstr>
  </property>
  <property fmtid="{D5CDD505-2E9C-101B-9397-08002B2CF9AE}" pid="4" name="EK_RefNr">
    <vt:lpwstr>KS2017.2.1.4-15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1.05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