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BAEB9D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BAEB9D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Overordnet Endringsledelse i Organisasjonen (Prosess)</w:t>
            </w:r>
            <w:r>
              <w:fldChar w:fldCharType="end"/>
            </w:r>
          </w:p>
        </w:tc>
      </w:tr>
    </w:tbl>
    <w:p w:rsidR="0052577D" w14:paraId="1BAEB9D4" w14:textId="77777777"/>
    <w:p w:rsidR="0052577D" w14:paraId="1BAEB9D5" w14:textId="77777777"/>
    <w:p w:rsidR="0052577D" w14:paraId="1BAEB9D6" w14:textId="77777777">
      <w:pPr>
        <w:rPr>
          <w:u w:val="single"/>
        </w:rPr>
      </w:pPr>
      <w:r w:rsidRPr="009B419D">
        <w:rPr>
          <w:u w:val="single"/>
        </w:rPr>
        <w:t>Innledning</w:t>
      </w:r>
    </w:p>
    <w:p w:rsidR="005377FB" w14:paraId="1BAEB9D7" w14:textId="77777777">
      <w:pPr>
        <w:rPr>
          <w:u w:val="single"/>
        </w:rPr>
      </w:pPr>
    </w:p>
    <w:p w:rsidR="005377FB" w14:paraId="1BAEB9D8" w14:textId="77777777">
      <w:r>
        <w:t>Nytt krav i 2017 standard:</w:t>
      </w:r>
    </w:p>
    <w:p w:rsidR="005377FB" w14:paraId="1BAEB9D9" w14:textId="77777777"/>
    <w:p w:rsidR="005377FB" w:rsidRPr="005377FB" w14:paraId="1BAEB9DA" w14:textId="77777777">
      <w:pPr>
        <w:rPr>
          <w:sz w:val="16"/>
          <w:szCs w:val="16"/>
          <w:lang w:val="en-US"/>
        </w:rPr>
      </w:pPr>
      <w:r w:rsidRPr="005377FB">
        <w:rPr>
          <w:sz w:val="16"/>
          <w:szCs w:val="16"/>
          <w:lang w:val="en-US"/>
        </w:rPr>
        <w:t>«The organization shall have a documented routine in place to manage changes to the organization, proc</w:t>
      </w:r>
      <w:r>
        <w:rPr>
          <w:sz w:val="16"/>
          <w:szCs w:val="16"/>
          <w:lang w:val="en-US"/>
        </w:rPr>
        <w:t xml:space="preserve">esses, and operations in a way </w:t>
      </w:r>
      <w:r w:rsidRPr="005377FB">
        <w:rPr>
          <w:sz w:val="16"/>
          <w:szCs w:val="16"/>
          <w:lang w:val="en-US"/>
        </w:rPr>
        <w:t>that qual</w:t>
      </w:r>
      <w:r>
        <w:rPr>
          <w:sz w:val="16"/>
          <w:szCs w:val="16"/>
          <w:lang w:val="en-US"/>
        </w:rPr>
        <w:t xml:space="preserve">ity and safety of the services </w:t>
      </w:r>
      <w:r w:rsidRPr="005377FB">
        <w:rPr>
          <w:sz w:val="16"/>
          <w:szCs w:val="16"/>
          <w:lang w:val="en-US"/>
        </w:rPr>
        <w:t>are not negatively affected»</w:t>
      </w:r>
    </w:p>
    <w:p w:rsidR="005377FB" w:rsidRPr="005377FB" w14:paraId="1BAEB9DB" w14:textId="77777777">
      <w:pPr>
        <w:rPr>
          <w:lang w:val="en-US"/>
        </w:rPr>
      </w:pPr>
    </w:p>
    <w:p w:rsidR="009B419D" w:rsidRPr="005377FB" w14:paraId="1BAEB9DC" w14:textId="77777777">
      <w:pPr>
        <w:rPr>
          <w:lang w:val="en-US"/>
        </w:rPr>
      </w:pPr>
    </w:p>
    <w:p w:rsidR="009B419D" w14:paraId="1BAEB9DD" w14:textId="77777777">
      <w:r>
        <w:t xml:space="preserve">Endringer kan skje på bakgrunn av følgende faktorer: </w:t>
      </w:r>
    </w:p>
    <w:p w:rsidR="009B419D" w14:paraId="1BAEB9DE" w14:textId="77777777"/>
    <w:p w:rsidR="0052577D" w14:paraId="1BAEB9DF" w14:textId="77777777">
      <w:r>
        <w:t>Evolusjon, livssyklus, teleologiske (læren om prosessers hensikt eller mål) endringer, ledelsesvitenskap, politikk, sosiale endringer, kult</w:t>
      </w:r>
      <w:r>
        <w:t>ur (Kezar (2009)).</w:t>
      </w:r>
    </w:p>
    <w:p w:rsidR="009B419D" w14:paraId="1BAEB9E0" w14:textId="77777777"/>
    <w:p w:rsidR="009B419D" w:rsidRPr="00FA5FEA" w14:paraId="1BAEB9E1" w14:textId="77777777">
      <w:pPr>
        <w:rPr>
          <w:sz w:val="16"/>
          <w:szCs w:val="16"/>
        </w:rPr>
      </w:pPr>
      <w:r>
        <w:t xml:space="preserve">Laksevåg og Bergen maritime videregående skole vil reagere på endringer via </w:t>
      </w:r>
      <w:r w:rsidR="00FA5FEA">
        <w:t xml:space="preserve">nedenforstående </w:t>
      </w:r>
      <w:r>
        <w:t>rammeverk</w:t>
      </w:r>
      <w:r w:rsidR="00FA5FEA">
        <w:t>, utarbeidet av</w:t>
      </w:r>
      <w:r>
        <w:t xml:space="preserve"> professor Kotter fra Harvard Business School.</w:t>
      </w:r>
      <w:r w:rsidR="00FA5FEA">
        <w:br/>
      </w:r>
      <w:r w:rsidR="00FA5FEA">
        <w:br/>
        <w:t xml:space="preserve">Før prosessen igangsettes vil det være viktig å avklare hvem som er ansvarlig for å initiere endringsprosessen, samt hva som skal være en del av endringsprosessen </w:t>
      </w:r>
      <w:r w:rsidRPr="00FA5FEA" w:rsidR="00FA5FEA">
        <w:rPr>
          <w:sz w:val="16"/>
          <w:szCs w:val="16"/>
        </w:rPr>
        <w:t>(OB2-Dnv Rev 2021).</w:t>
      </w:r>
    </w:p>
    <w:p w:rsidR="009B419D" w14:paraId="1BAEB9E2" w14:textId="77777777"/>
    <w:p w:rsidR="00FA5FEA" w14:paraId="1BAEB9E3" w14:textId="78974602">
      <w:r>
        <w:rPr>
          <w:b/>
          <w:bCs/>
        </w:rPr>
        <w:t>Ansvarlig for å initiere endringsprosess</w:t>
      </w:r>
      <w:r>
        <w:rPr>
          <w:b/>
          <w:bCs/>
        </w:rPr>
        <w:br/>
      </w:r>
      <w:r>
        <w:rPr>
          <w:b/>
          <w:bCs/>
        </w:rPr>
        <w:br/>
      </w:r>
      <w:r>
        <w:t>Den person i organisasjonen som identifiserer et mulig behov for endring, bringer behovet videre til sin nærmeste leder. Hvis endringsbehovet er av lokal (les: avdelingsvis) karakter, og ikke krever innkjøp- eller ressurser utover de rammer som er satt for Avdelingsleder, så vil Avdelingsleder være ansvarlig for å initiere, eller avslå, endringsprosessen. I de tilfeller hvor den potensielle endring krever ressurser på høyere nivå enn Avdelingsleder, eller involverer flere avdelinger på skolen, så bringes endringsbehovet inn i Ledermøtet, og Ledergruppen tar en avgjørelse. Hvis endringsprosess startes, så følges prosess nedenfor. Avhengig av partene i endringsprosessen, og de krav disse stiller basert på hierarki, så vil endringsprosessen av og til krev en særskilt, lokal tilpasning.</w:t>
      </w:r>
    </w:p>
    <w:p w:rsidR="0016767D" w14:paraId="5E65BB14" w14:textId="7FC6CDF2"/>
    <w:p w:rsidR="0016767D" w:rsidRPr="0016767D" w14:paraId="08D7BB66" w14:textId="0E916948">
      <w:pPr>
        <w:rPr>
          <w:b/>
          <w:bCs/>
        </w:rPr>
      </w:pPr>
      <w:r w:rsidRPr="0016767D">
        <w:rPr>
          <w:b/>
          <w:bCs/>
        </w:rPr>
        <w:t>Avklaring av innhold i endringsprosessen</w:t>
      </w:r>
    </w:p>
    <w:p w:rsidR="0016767D" w14:paraId="7B80B9EE" w14:textId="1469EA4E"/>
    <w:p w:rsidR="0016767D" w:rsidRPr="0016767D" w14:paraId="3E4E7C24" w14:textId="1693B8FE">
      <w:r>
        <w:t xml:space="preserve">Innholdet i endringsprosessen vil være avhengig av endringens omfang. En større endringsprosess vil kreve </w:t>
      </w:r>
      <w:r w:rsidR="007B4EF9">
        <w:t>flere</w:t>
      </w:r>
      <w:r>
        <w:t xml:space="preserve"> ressurser i form av innsatsfaktorer enn en mindre endringsprosess.</w:t>
      </w:r>
      <w:r w:rsidR="007B4EF9">
        <w:t xml:space="preserve"> Forut for igangsettelse av prosessen nedenfor, foretar Avdelingsleder/Ledergruppen en avklaring av hva som må endres, i hvilket omfang, med hvilke ressurser, og innenfor hvilken tidsramme. </w:t>
      </w:r>
    </w:p>
    <w:p w:rsidR="00FA5FEA" w14:paraId="1BAEB9E4" w14:textId="3C2CA078"/>
    <w:p w:rsidR="007B4EF9" w:rsidRPr="007B4EF9" w14:paraId="1714FE47" w14:textId="04F1E5A7">
      <w:pPr>
        <w:rPr>
          <w:b/>
          <w:bCs/>
        </w:rPr>
      </w:pPr>
      <w:r>
        <w:rPr>
          <w:b/>
          <w:bCs/>
        </w:rPr>
        <w:t>Endringsprosess</w:t>
      </w:r>
    </w:p>
    <w:p w:rsidR="007B4EF9" w14:paraId="0BC20321" w14:textId="77777777"/>
    <w:p w:rsidR="009B419D" w14:paraId="1BAEB9E5" w14:textId="77777777">
      <w:r>
        <w:t>Prosessen består av følgene steg:</w:t>
      </w:r>
    </w:p>
    <w:p w:rsidR="009B419D" w14:paraId="1BAEB9E6" w14:textId="77777777"/>
    <w:p w:rsidR="009B419D" w:rsidRPr="005377FB" w:rsidP="009B419D" w14:paraId="1BAEB9E7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 xml:space="preserve">Create a </w:t>
      </w:r>
      <w:r w:rsidRPr="005377FB">
        <w:rPr>
          <w:b/>
          <w:lang w:val="en-US"/>
        </w:rPr>
        <w:t xml:space="preserve"> sense of urgency</w:t>
      </w:r>
    </w:p>
    <w:p w:rsidR="009B419D" w:rsidRPr="009B419D" w:rsidP="009B419D" w14:paraId="1BAEB9E8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9B419D">
        <w:t xml:space="preserve"> identifiserer en en</w:t>
      </w:r>
      <w:r>
        <w:t>dring, vurderer signifikansen i endringen opp imot vitale prosesser i organisasjonen, og kommuniserer ut i organisasjonen et behov for endring i tråd med signifikansnivået</w:t>
      </w:r>
    </w:p>
    <w:p w:rsidR="009B419D" w:rsidRPr="005377FB" w:rsidP="009B419D" w14:paraId="1BAEB9E9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 xml:space="preserve">Build a </w:t>
      </w:r>
      <w:r w:rsidRPr="005377FB">
        <w:rPr>
          <w:b/>
          <w:lang w:val="en-US"/>
        </w:rPr>
        <w:t>guiding coalition</w:t>
      </w:r>
    </w:p>
    <w:p w:rsidR="009B419D" w:rsidRPr="009B419D" w:rsidP="009B419D" w14:paraId="1BAEB9EA" w14:textId="77777777">
      <w:pPr>
        <w:pStyle w:val="ListParagraph"/>
        <w:numPr>
          <w:ilvl w:val="1"/>
          <w:numId w:val="4"/>
        </w:numPr>
      </w:pPr>
      <w:r w:rsidRPr="009B419D">
        <w:t>Basert på endring</w:t>
      </w:r>
      <w:r w:rsidR="00E0304E">
        <w:t>ens</w:t>
      </w:r>
      <w:r w:rsidRPr="009B419D">
        <w:t xml:space="preserve"> signifikan</w:t>
      </w:r>
      <w:r w:rsidR="00E0304E">
        <w:t>s</w:t>
      </w:r>
      <w:r w:rsidRPr="009B419D">
        <w:t xml:space="preserve">, størrelse, og berørte avdelinger, danner </w:t>
      </w:r>
      <w:r w:rsidR="00341E3A">
        <w:t>Laksevåg og Bergen Maritime</w:t>
      </w:r>
      <w:r>
        <w:t xml:space="preserve"> en koalisjon med endringspersoner. Herunder vil Ledergruppen være den drivende kraft, kombinert med personer fra berørte avdelinger.</w:t>
      </w:r>
    </w:p>
    <w:p w:rsidR="009B419D" w:rsidRPr="005377FB" w:rsidP="009B419D" w14:paraId="1BAEB9EB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Fo</w:t>
      </w:r>
      <w:r w:rsidRPr="005377FB">
        <w:rPr>
          <w:b/>
          <w:lang w:val="en-US"/>
        </w:rPr>
        <w:t>rm a strategic vision &amp; initiatives</w:t>
      </w:r>
    </w:p>
    <w:p w:rsidR="00E0304E" w:rsidRPr="00E0304E" w:rsidP="00E0304E" w14:paraId="1BAEB9EC" w14:textId="77777777">
      <w:pPr>
        <w:pStyle w:val="ListParagraph"/>
        <w:numPr>
          <w:ilvl w:val="1"/>
          <w:numId w:val="4"/>
        </w:numPr>
      </w:pPr>
      <w:r w:rsidRPr="00E0304E">
        <w:t xml:space="preserve">Hvis endringen er signifikant, så må </w:t>
      </w:r>
      <w:r w:rsidR="00341E3A">
        <w:t>Laksevåg og Bergen Maritime</w:t>
      </w:r>
      <w:r w:rsidRPr="00E0304E">
        <w:t xml:space="preserve"> vurdere </w:t>
      </w:r>
      <w:r>
        <w:t xml:space="preserve">hvordan fremtiden vil kunne se ut sammenlignet med dagens situasjon. Hvis </w:t>
      </w:r>
      <w:r>
        <w:t xml:space="preserve">det er stor forskjell, så må </w:t>
      </w:r>
      <w:r w:rsidR="00341E3A">
        <w:t>Laksevåg og Bergen Maritime</w:t>
      </w:r>
      <w:r>
        <w:t xml:space="preserve"> – ved Ledergrupp</w:t>
      </w:r>
      <w:r>
        <w:t>en – vurdere om de strategiske styringsbegreper (visjon,</w:t>
      </w:r>
      <w:r w:rsidR="005377FB">
        <w:t xml:space="preserve"> </w:t>
      </w:r>
      <w:r>
        <w:t>mis</w:t>
      </w:r>
      <w:r w:rsidR="005377FB">
        <w:t>jon, kjerneverdier mv) skal modifiseres</w:t>
      </w:r>
      <w:r>
        <w:t xml:space="preserve">, med dertilhørende endringer i utviklingsplan (mål), og underliggende prosesser/prosedyrer/rutiner. (Dette vil </w:t>
      </w:r>
      <w:r w:rsidR="005377FB">
        <w:t>konstituere</w:t>
      </w:r>
      <w:r>
        <w:t xml:space="preserve"> en egen prosess). Hvis endringen </w:t>
      </w:r>
      <w:r>
        <w:t xml:space="preserve">er mindre signifikant, så må </w:t>
      </w:r>
      <w:r w:rsidR="00341E3A">
        <w:t>Laksevåg og Bergen Maritime</w:t>
      </w:r>
      <w:r>
        <w:t xml:space="preserve"> vurdere endringer i utviklingsplanen, samt i etablerte rutiner/prosedyrer og prosesser på hiera</w:t>
      </w:r>
      <w:r w:rsidR="005377FB">
        <w:t>r</w:t>
      </w:r>
      <w:r>
        <w:t>kinivå i organisasjonen.</w:t>
      </w:r>
    </w:p>
    <w:p w:rsidR="009B419D" w:rsidRPr="005377FB" w:rsidP="009B419D" w14:paraId="1BAEB9ED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Enlist a volunteer army</w:t>
      </w:r>
    </w:p>
    <w:p w:rsidR="00E0304E" w:rsidRPr="00E0304E" w:rsidP="00E0304E" w14:paraId="1BAEB9EE" w14:textId="77777777">
      <w:pPr>
        <w:pStyle w:val="ListParagraph"/>
        <w:numPr>
          <w:ilvl w:val="1"/>
          <w:numId w:val="4"/>
        </w:numPr>
      </w:pPr>
      <w:r w:rsidRPr="00E0304E">
        <w:t>For å iverksette nødvendige endringer, er det essensie</w:t>
      </w:r>
      <w:r w:rsidRPr="00E0304E">
        <w:t xml:space="preserve">lt at organisasjonens medlemmer er involvert, og engasjert. </w:t>
      </w:r>
      <w:r w:rsidR="00341E3A">
        <w:t>Laksevåg og Bergen Maritime</w:t>
      </w:r>
      <w:r>
        <w:t xml:space="preserve"> vil involvere fagorganisasjonene i endringsprosesser, samt den enkelte avdeling med tilhørende ansatte. Den enkeltes involveringsnivå vil avhenge av endringens størrels</w:t>
      </w:r>
      <w:r>
        <w:t>e, og tidsperspektiv. Det vil bli utarbeidet egne operasjonelle implementerings- og kommunikasjonsplaner.</w:t>
      </w:r>
    </w:p>
    <w:p w:rsidR="009B419D" w:rsidRPr="005377FB" w:rsidP="009B419D" w14:paraId="1BAEB9EF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Enable action by removing barriers</w:t>
      </w:r>
    </w:p>
    <w:p w:rsidR="00E0304E" w:rsidRPr="0008138C" w:rsidP="00E0304E" w14:paraId="1BAEB9F0" w14:textId="77777777">
      <w:pPr>
        <w:pStyle w:val="ListParagraph"/>
        <w:numPr>
          <w:ilvl w:val="1"/>
          <w:numId w:val="4"/>
        </w:numPr>
      </w:pPr>
      <w:r>
        <w:t>Ved behov for endringer</w:t>
      </w:r>
      <w:r w:rsidRPr="0008138C">
        <w:t xml:space="preserve"> vil </w:t>
      </w:r>
      <w:r w:rsidR="00341E3A">
        <w:t>Laksevåg og Bergen Maritime</w:t>
      </w:r>
      <w:r w:rsidRPr="0008138C">
        <w:t xml:space="preserve"> være åpne for å se på hierarki og prosesser, med den hensik</w:t>
      </w:r>
      <w:r w:rsidRPr="0008138C">
        <w:t>t å kunne iverksette nødvendige justeringer for å implementere nødvendige fremtidige endringsprosesser.</w:t>
      </w:r>
      <w:r>
        <w:t xml:space="preserve"> </w:t>
      </w:r>
      <w:r w:rsidR="00341E3A">
        <w:t>Laksevåg og Bergen Maritime</w:t>
      </w:r>
      <w:r>
        <w:t xml:space="preserve"> vil åpne for samarbeid på tvers av det offisielle organisasjonskartet der dette er nødvendig.  </w:t>
      </w:r>
      <w:r w:rsidR="00341E3A">
        <w:t>Laksevåg og Bergen Maritime</w:t>
      </w:r>
      <w:r>
        <w:t xml:space="preserve"> v</w:t>
      </w:r>
      <w:r>
        <w:t>il også involvere støttespiller, og eksterne aktører, der disse kan være bidragsytere til å gjennomføre endringene.</w:t>
      </w:r>
      <w:r w:rsidR="005377FB">
        <w:br/>
      </w:r>
      <w:r w:rsidR="005377FB">
        <w:br/>
      </w:r>
      <w:r w:rsidR="005377FB">
        <w:br/>
      </w:r>
    </w:p>
    <w:p w:rsidR="009B419D" w:rsidRPr="005377FB" w:rsidP="009B419D" w14:paraId="1BAEB9F1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Generate short-term wins</w:t>
      </w:r>
    </w:p>
    <w:p w:rsidR="0008138C" w:rsidRPr="0008138C" w:rsidP="0008138C" w14:paraId="1BAEB9F2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08138C">
        <w:t xml:space="preserve"> vil strukturere endringsprosesser slik at de er egnet til å avstedkomme milepæler, s</w:t>
      </w:r>
      <w:r w:rsidRPr="0008138C">
        <w:t xml:space="preserve">amt kortsiktige </w:t>
      </w:r>
      <w:r>
        <w:t xml:space="preserve">og langsiktige </w:t>
      </w:r>
      <w:r w:rsidRPr="0008138C">
        <w:t>gevinster</w:t>
      </w:r>
      <w:r>
        <w:t>/seire</w:t>
      </w:r>
      <w:r w:rsidRPr="0008138C">
        <w:t xml:space="preserve"> for medlemmer i organisasjonen. </w:t>
      </w:r>
      <w:r>
        <w:t>Laksevåg og Bergen Maritime vil tilstrebe å kommunisere progresjon.</w:t>
      </w:r>
    </w:p>
    <w:p w:rsidR="009B419D" w:rsidRPr="005377FB" w:rsidP="009B419D" w14:paraId="1BAEB9F3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Sustain Acceleration</w:t>
      </w:r>
    </w:p>
    <w:p w:rsidR="0008138C" w:rsidRPr="0008138C" w:rsidP="0008138C" w14:paraId="1BAEB9F4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08138C">
        <w:t>, ved Ledergruppen, vil tilstrebe proaktivitet I endringspros</w:t>
      </w:r>
      <w:r w:rsidRPr="0008138C">
        <w:t xml:space="preserve">esser. </w:t>
      </w:r>
      <w:r>
        <w:t>Ledergruppen vil tilstrebe å benytte kortsiktige suksesser til å iverksette endringer i organisasjonsstruktur, prosesser, prosedyrer og rutiner som på lengre sikt vil kunne danne grunnlaget for ytterligere suksess, i tråd med de vedtatte strategiske</w:t>
      </w:r>
      <w:r>
        <w:t xml:space="preserve"> styringsbegreper.</w:t>
      </w:r>
    </w:p>
    <w:p w:rsidR="009B419D" w:rsidRPr="005377FB" w:rsidP="009B419D" w14:paraId="1BAEB9F5" w14:textId="77777777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5377FB">
        <w:rPr>
          <w:b/>
          <w:lang w:val="en-US"/>
        </w:rPr>
        <w:t>Institute change</w:t>
      </w:r>
    </w:p>
    <w:p w:rsidR="0008138C" w:rsidRPr="0008138C" w:rsidP="0008138C" w14:paraId="1BAEB9F6" w14:textId="77777777">
      <w:pPr>
        <w:pStyle w:val="ListParagraph"/>
        <w:numPr>
          <w:ilvl w:val="1"/>
          <w:numId w:val="4"/>
        </w:numPr>
      </w:pPr>
      <w:r>
        <w:t>Laksevåg og Bergen Maritime</w:t>
      </w:r>
      <w:r w:rsidRPr="0008138C">
        <w:t xml:space="preserve"> vil tilstrebe å ko</w:t>
      </w:r>
      <w:r>
        <w:t>mmunisere sammenhengen mellom endringer i adferd/struktur/prosess/prosedyrer/rutiner og organisasjonsmessig suksess. Laksevåg og Bergen maritime vil tilstrebe å sementere end</w:t>
      </w:r>
      <w:r>
        <w:t xml:space="preserve">ringene i organisasjonen, slik at de erstatter tidligere mindre produktive handlingsmønstre. </w:t>
      </w:r>
    </w:p>
    <w:p w:rsidR="009B419D" w:rsidP="009B419D" w14:paraId="1BAEB9F7" w14:textId="77777777"/>
    <w:p w:rsidR="005377FB" w:rsidRPr="0008138C" w:rsidP="009B419D" w14:paraId="1BAEB9F8" w14:textId="77777777">
      <w:r>
        <w:t xml:space="preserve">I alle steg og prosesser vil </w:t>
      </w:r>
      <w:r w:rsidR="00341E3A">
        <w:t>Laksevåg og Bergen Maritime</w:t>
      </w:r>
      <w:r>
        <w:t xml:space="preserve"> forholde seg til nødvendig lovverk og forskrifter med videre.</w:t>
      </w:r>
    </w:p>
    <w:p w:rsidR="0052577D" w:rsidRPr="0008138C" w14:paraId="1BAEB9F9" w14:textId="77777777"/>
    <w:p w:rsidR="0052577D" w:rsidRPr="0008138C" w14:paraId="1BAEB9FA" w14:textId="77777777">
      <w:pPr>
        <w:pStyle w:val="Normal2"/>
      </w:pPr>
    </w:p>
    <w:p w:rsidR="0052577D" w14:paraId="1BAEB9F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BAEB9F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419D" w:rsidRPr="00FA5FEA" w14:paraId="1BAEBA02" w14:textId="77777777">
      <w:pPr>
        <w:pStyle w:val="Normal2"/>
        <w:rPr>
          <w:sz w:val="20"/>
          <w:lang w:val="en-US"/>
        </w:rPr>
      </w:pPr>
      <w:bookmarkEnd w:id="2"/>
      <w:r w:rsidRPr="009B419D">
        <w:rPr>
          <w:sz w:val="20"/>
          <w:lang w:val="en-US"/>
        </w:rPr>
        <w:t xml:space="preserve">On Change Management: HBR's Ten Must Reads. Boston: Harvard Review Press, 2011. Available online as a 200 page PDF. </w:t>
      </w:r>
    </w:p>
    <w:p w:rsidR="009B419D" w:rsidRPr="00FA5FEA" w14:paraId="1BAEBA03" w14:textId="77777777">
      <w:pPr>
        <w:pStyle w:val="Normal2"/>
        <w:rPr>
          <w:sz w:val="20"/>
          <w:lang w:val="en-US"/>
        </w:rPr>
      </w:pPr>
    </w:p>
    <w:p w:rsidR="009B419D" w:rsidRPr="00FA5FEA" w14:paraId="1BAEBA04" w14:textId="77777777">
      <w:pPr>
        <w:pStyle w:val="Normal2"/>
        <w:rPr>
          <w:sz w:val="20"/>
          <w:lang w:val="en-US"/>
        </w:rPr>
      </w:pPr>
      <w:r w:rsidRPr="009B419D">
        <w:rPr>
          <w:sz w:val="20"/>
          <w:lang w:val="en-US"/>
        </w:rPr>
        <w:t>Michael N. Bastedo, The Organization of Higher Education: Managing Colleges for a New Era. Baltimore: Johns Hopkins University Press, 2012</w:t>
      </w:r>
      <w:r w:rsidRPr="009B419D">
        <w:rPr>
          <w:sz w:val="20"/>
          <w:lang w:val="en-US"/>
        </w:rPr>
        <w:t xml:space="preserve">. </w:t>
      </w:r>
    </w:p>
    <w:p w:rsidR="009B419D" w:rsidRPr="00FA5FEA" w14:paraId="1BAEBA05" w14:textId="77777777">
      <w:pPr>
        <w:pStyle w:val="Normal2"/>
        <w:rPr>
          <w:sz w:val="20"/>
          <w:lang w:val="en-US"/>
        </w:rPr>
      </w:pPr>
    </w:p>
    <w:p w:rsidR="0052577D" w14:paraId="1BAEBA06" w14:textId="77777777">
      <w:pPr>
        <w:pStyle w:val="Normal2"/>
        <w:rPr>
          <w:sz w:val="20"/>
          <w:lang w:val="en-US"/>
        </w:rPr>
      </w:pPr>
      <w:r w:rsidRPr="009B419D">
        <w:rPr>
          <w:sz w:val="20"/>
          <w:lang w:val="en-US"/>
        </w:rPr>
        <w:t>W. Warner Burke, Organization Change: Theory and Practice. third edition. Thousand Oaks, CA: Sage Publications, 2011.</w:t>
      </w:r>
    </w:p>
    <w:p w:rsidR="009B419D" w14:paraId="1BAEBA07" w14:textId="77777777">
      <w:pPr>
        <w:pStyle w:val="Normal2"/>
        <w:rPr>
          <w:sz w:val="20"/>
          <w:lang w:val="en-US"/>
        </w:rPr>
      </w:pPr>
    </w:p>
    <w:p w:rsidR="009B419D" w14:paraId="1BAEBA08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“A sense of urgency”</w:t>
      </w:r>
      <w:r w:rsidR="0008138C">
        <w:rPr>
          <w:sz w:val="20"/>
          <w:lang w:val="en-US"/>
        </w:rPr>
        <w:t xml:space="preserve"> (2008)</w:t>
      </w:r>
    </w:p>
    <w:p w:rsidR="00E0304E" w14:paraId="1BAEBA09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“Accelerate”</w:t>
      </w:r>
      <w:r w:rsidR="0008138C">
        <w:rPr>
          <w:sz w:val="20"/>
          <w:lang w:val="en-US"/>
        </w:rPr>
        <w:t xml:space="preserve"> (2014)</w:t>
      </w:r>
    </w:p>
    <w:p w:rsidR="00E0304E" w14:paraId="1BAEBA0A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Kotter &amp; Whitehead: “Buy in”</w:t>
      </w:r>
      <w:r w:rsidR="0008138C">
        <w:rPr>
          <w:sz w:val="20"/>
          <w:lang w:val="en-US"/>
        </w:rPr>
        <w:t xml:space="preserve"> (2010)</w:t>
      </w:r>
    </w:p>
    <w:p w:rsidR="00E0304E" w14:paraId="1BAEBA0B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 xml:space="preserve">John P. </w:t>
      </w:r>
      <w:r>
        <w:rPr>
          <w:sz w:val="20"/>
          <w:lang w:val="en-US"/>
        </w:rPr>
        <w:t>Kotter: “Leading Change” (1996)</w:t>
      </w:r>
    </w:p>
    <w:p w:rsidR="0008138C" w14:paraId="1BAEBA0C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“Our Iceberg is melting” (2006)</w:t>
      </w:r>
    </w:p>
    <w:p w:rsidR="0008138C" w14:paraId="1BAEBA0D" w14:textId="77777777">
      <w:pPr>
        <w:pStyle w:val="Normal2"/>
        <w:rPr>
          <w:sz w:val="20"/>
          <w:lang w:val="en-US"/>
        </w:rPr>
      </w:pPr>
      <w:r>
        <w:rPr>
          <w:sz w:val="20"/>
          <w:lang w:val="en-US"/>
        </w:rPr>
        <w:t>John P. Kotter: “The Heart of Change” (2002)</w:t>
      </w:r>
    </w:p>
    <w:p w:rsidR="0008138C" w14:paraId="1BAEBA0E" w14:textId="77777777">
      <w:pPr>
        <w:pStyle w:val="Normal2"/>
        <w:rPr>
          <w:sz w:val="20"/>
          <w:lang w:val="en-US"/>
        </w:rPr>
      </w:pPr>
    </w:p>
    <w:p w:rsidR="0008138C" w14:paraId="1BAEBA0F" w14:textId="77777777">
      <w:pPr>
        <w:pStyle w:val="Normal2"/>
        <w:rPr>
          <w:sz w:val="20"/>
          <w:lang w:val="en-US"/>
        </w:rPr>
      </w:pPr>
    </w:p>
    <w:p w:rsidR="009B419D" w14:paraId="1BAEBA10" w14:textId="77777777">
      <w:pPr>
        <w:pStyle w:val="Normal2"/>
        <w:rPr>
          <w:sz w:val="20"/>
          <w:lang w:val="en-US"/>
        </w:rPr>
      </w:pPr>
    </w:p>
    <w:p w:rsidR="009B419D" w:rsidRPr="009B419D" w14:paraId="1BAEBA11" w14:textId="77777777">
      <w:pPr>
        <w:pStyle w:val="Normal2"/>
        <w:rPr>
          <w:sz w:val="20"/>
          <w:lang w:val="en-US"/>
        </w:rPr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E1E" w14:paraId="1BAEBA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BAEBA1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BAEBA1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BAEBA1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BAEBA1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KS2017.2.2.2-01</w:t>
          </w:r>
          <w:r>
            <w:rPr>
              <w:i w:val="0"/>
              <w:sz w:val="20"/>
            </w:rPr>
            <w:fldChar w:fldCharType="end"/>
          </w:r>
        </w:p>
      </w:tc>
    </w:tr>
    <w:tr w14:paraId="1BAEBA2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BAEBA1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BAEBA1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BAEBA2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F1540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F1540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BAEBA2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E1E" w14:paraId="1BAEBA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1BAEBA1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BAEBA1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15403" w:rsidRPr="0051404E" w:rsidP="008348DF" w14:paraId="1BAEBA1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15403" w:rsidRPr="00CC5637" w:rsidP="00CF0DEE" w14:paraId="1BAEBA1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15403" w:rsidRPr="0051404E" w:rsidP="008348DF" w14:paraId="1BAEBA1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15403" w:rsidP="008348DF" w14:paraId="1BAEBA1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F15403" w14:paraId="1BAEBA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E1E" w14:paraId="1BAEBA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59558D"/>
    <w:multiLevelType w:val="hybridMultilevel"/>
    <w:tmpl w:val="C9C04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0EFC"/>
    <w:rsid w:val="0008138C"/>
    <w:rsid w:val="000877EE"/>
    <w:rsid w:val="00136820"/>
    <w:rsid w:val="0016767D"/>
    <w:rsid w:val="001D40A2"/>
    <w:rsid w:val="00253E1E"/>
    <w:rsid w:val="002D08C3"/>
    <w:rsid w:val="00341E3A"/>
    <w:rsid w:val="003B4961"/>
    <w:rsid w:val="003C6DAE"/>
    <w:rsid w:val="004323E1"/>
    <w:rsid w:val="004C6B8F"/>
    <w:rsid w:val="004E6573"/>
    <w:rsid w:val="0051404E"/>
    <w:rsid w:val="0052577D"/>
    <w:rsid w:val="005377FB"/>
    <w:rsid w:val="005C51C7"/>
    <w:rsid w:val="005E76BE"/>
    <w:rsid w:val="006C219F"/>
    <w:rsid w:val="00711001"/>
    <w:rsid w:val="00742174"/>
    <w:rsid w:val="007979D5"/>
    <w:rsid w:val="007A7A3C"/>
    <w:rsid w:val="007B4EF9"/>
    <w:rsid w:val="008348DF"/>
    <w:rsid w:val="0086091A"/>
    <w:rsid w:val="00893324"/>
    <w:rsid w:val="008D11BF"/>
    <w:rsid w:val="008D52AE"/>
    <w:rsid w:val="00922FFB"/>
    <w:rsid w:val="009B419D"/>
    <w:rsid w:val="00A62371"/>
    <w:rsid w:val="00A81B36"/>
    <w:rsid w:val="00B43266"/>
    <w:rsid w:val="00B5242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0304E"/>
    <w:rsid w:val="00E35F25"/>
    <w:rsid w:val="00E506A8"/>
    <w:rsid w:val="00EE561F"/>
    <w:rsid w:val="00F064EF"/>
    <w:rsid w:val="00F10EB6"/>
    <w:rsid w:val="00F15403"/>
    <w:rsid w:val="00FA5FEA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27.06.2018¤3#EK_Utgitt¤2#0¤2#28.06.2018¤3#EK_IBrukDato¤2#0¤2#29.06.2018¤3#EK_DokumentID¤2#0¤2#D00704¤3#EK_DokTittel¤2#0¤2#Endringsledelse¤3#EK_DokType¤2#0¤2#¤3#EK_EksRef¤2#2¤2# 0_x0009_¤3#EK_Erstatter¤2#0¤2#1.00¤3#EK_ErstatterD¤2#0¤2#28.06.2018¤3#EK_Signatur¤2#0¤2#¤3#EK_Verifisert¤2#0¤2#¤3#EK_Hørt¤2#0¤2#¤3#EK_AuditReview¤2#2¤2#¤3#EK_AuditApprove¤2#2¤2#¤3#EK_Gradering¤2#0¤2#Åpen¤3#EK_Gradnr¤2#4¤2#0¤3#EK_Kapittel¤2#4¤2# ¤3#EK_Referanse¤2#2¤2# 0_x0009_¤3#EK_RefNr¤2#0¤2#KS2017.2.2.2-01¤3#EK_Revisjon¤2#0¤2#2.00¤3#EK_Ansvarlig¤2#0¤2#Eirik Ørn¤3#EK_SkrevetAv¤2#0¤2#Eirik Ørn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2.00¤3#EK_Merknad¤2#7¤2#¤3#EK_VerLogg¤2#2¤2#Ver. 2.00 - 29.06.2018|¤1#Ver. 1.00 - 29.06.2018|Opprettet for å tilfredsstille punkt 2.2.2. i standard av 2017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20202¤3#EK_Dokendrdato¤2#4¤2#18.06.2020 10:31:09¤3#EK_HbType¤2#4¤2# ¤3#EK_Offisiell¤2#4¤2# ¤3#EK_VedleggRef¤2#4¤2#KS2017.2.2.2-01¤3#EK_Strukt00¤2#5¤2#¤5#KS2017¤5#KVALITETSSYSTEM¤5#0¤5#0¤4#.¤5#2¤5#SECTION 2 MANAGEMENT¤5#0¤5#0¤4#.¤5#2¤5#Process control¤5#0¤5#0¤4#.¤5#2¤5#Managing change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2¤5#Process control¤5#0¤5#0¤4#.¤5#2¤5#Managing changes¤5#0¤5#0¤4#\¤3#"/>
    <w:docVar w:name="ek_dl" w:val="1"/>
    <w:docVar w:name="ek_doktittel" w:val="Endringsledelse"/>
    <w:docVar w:name="ek_doktype" w:val="[]"/>
    <w:docVar w:name="ek_dokumentid" w:val="D00704"/>
    <w:docVar w:name="ek_erstatter" w:val="1.00"/>
    <w:docVar w:name="ek_erstatterd" w:val="28.06.2018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29.06.2018"/>
    <w:docVar w:name="ek_merknad" w:val="[]"/>
    <w:docVar w:name="ek_opprettet" w:val="27.06.2018"/>
    <w:docVar w:name="ek_rapport" w:val="[]"/>
    <w:docVar w:name="ek_refnr" w:val="KS2017.2.2.2-01"/>
    <w:docVar w:name="ek_revisjon" w:val="2.00"/>
    <w:docVar w:name="ek_s00m0101" w:val="KVALITETSSYSTEM"/>
    <w:docVar w:name="ek_s00m0201" w:val="SECTION 2 MANAGEMENT"/>
    <w:docVar w:name="ek_signatur" w:val="[]"/>
    <w:docVar w:name="ek_skrevetav" w:val="Eirik Ørn"/>
    <w:docVar w:name="ek_status" w:val="Til godkj.(rev)"/>
    <w:docVar w:name="ek_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2.00"/>
    <w:docVar w:name="ek_utgitt" w:val="28.06.2018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F871348-22CB-4E00-9980-8B29ED0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9B419D"/>
    <w:pPr>
      <w:ind w:left="720"/>
      <w:contextualSpacing/>
    </w:pPr>
  </w:style>
  <w:style w:type="paragraph" w:styleId="BalloonText">
    <w:name w:val="Balloon Text"/>
    <w:basedOn w:val="Normal"/>
    <w:link w:val="BobletekstTegn"/>
    <w:rsid w:val="00341E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341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C3ED-984C-41F8-A4C0-A80931C7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142</TotalTime>
  <Pages>3</Pages>
  <Words>837</Words>
  <Characters>5278</Characters>
  <Application>Microsoft Office Word</Application>
  <DocSecurity>4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Endringsledelse</vt:lpstr>
      <vt:lpstr>Standard</vt:lpstr>
    </vt:vector>
  </TitlesOfParts>
  <Company>Datakvalitet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Overordnet Endringsledelse i Organisasjonen (Prosess)</dc:title>
  <dc:subject>0005020202|KS2017.2.2.2-01|</dc:subject>
  <dc:creator>Handbok</dc:creator>
  <dc:description>EK_Avdeling_x0002_4_x0002_ _x0003_EK_Avsnitt_x0002_4_x0002_ _x0003_EK_Bedriftsnavn_x0002_1_x0002_Laksevåg og Bergen Maritime Vgs_x0003_EK_GjelderFra_x0002_0_x0002_ _x0003_EK_Opprettet_x0002_0_x0002_27.06.2018_x0003_EK_Utgitt_x0002_0_x0002_28.06.2018_x0003_EK_IBrukDato_x0002_0_x0002_29.06.2018_x0003_EK_DokumentID_x0002_0_x0002_D00704_x0003_EK_DokTittel_x0002_0_x0002_Endringsledelse_x0003_EK_DokType_x0002_0_x0002__x0003_EK_EksRef_x0002_2_x0002_ 0	_x0003_EK_Erstatter_x0002_0_x0002_1.00_x0003_EK_ErstatterD_x0002_0_x0002_28.06.2018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_x0003_EK_RefNr_x0002_0_x0002_KS2017.2.2.2-01_x0003_EK_Revisjon_x0002_0_x0002_2.00_x0003_EK_Ansvarlig_x0002_0_x0002_Eirik Ørn_x0003_EK_SkrevetAv_x0002_0_x0002_Eirik Ørn_x0003_EK_UText1_x0002_0_x0002_ _x0003_EK_UText2_x0002_0_x0002_ _x0003_EK_UText3_x0002_0_x0002_ _x0003_EK_UText4_x0002_0_x0002_ _x0003_EK_Status_x0002_0_x0002_Til godkj.(rev)_x0003_EK_Stikkord_x0002_0_x0002__x0003_EK_SuperStikkord_x0002_0_x0002__x0003_EK_Rapport_x0002_3_x0002__x0003_EK_EKPrintMerke_x0002_0_x0002_Uoffisiell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utskriftsdato_x0003_EK_Watermark_x0002_0_x0002__x0003_EK_Utgave_x0002_0_x0002_2.00_x0003_EK_Merknad_x0002_7_x0002__x0003_EK_VerLogg_x0002_2_x0002_Ver. 2.00 - 29.06.2018|_x0001_Ver. 1.00 - 29.06.2018|Opprettet for å tilfredsstille punkt 2.2.2. i standard av 2017_x0003_EK_RF1_x0002_4_x0002_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_x0003_EK_DokRefnr_x0002_4_x0002_0005020202_x0003_EK_Dokendrdato_x0002_4_x0002_18.06.2020 10:31:09_x0003_EK_HbType_x0002_4_x0002_ _x0003_EK_Offisiell_x0002_4_x0002_ _x0003_EK_VedleggRef_x0002_4_x0002_KS2017.2.2.2-01_x0003_EK_Strukt00_x0002_5_x0002__x0005_KS2017_x0005_KVALITETSSYSTEM_x0005_0_x0005_0_x0004_._x0005_2_x0005_SECTION 2 MANAGEMENT_x0005_0_x0005_0_x0004_._x0005_2_x0005_Process control_x0005_0_x0005_0_x0004_._x0005_2_x0005_Managing changes_x0005_0_x0005_0_x0004_\_x0003_EK_Strukt01_x0002_5_x0002__x0003_EK_Pub_x0002_6_x0002_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MANAGEMENT_x0005_0_x0005_0_x0004_._x0005_2_x0005_Process control_x0005_0_x0005_0_x0004_._x0005_2_x0005_Managing changes_x0005_0_x0005_0_x0004_\_x0003_</dc:description>
  <cp:lastModifiedBy>Eirik Ørn</cp:lastModifiedBy>
  <cp:revision>5</cp:revision>
  <cp:lastPrinted>2008-01-07T10:39:00Z</cp:lastPrinted>
  <dcterms:created xsi:type="dcterms:W3CDTF">2021-01-11T19:54:00Z</dcterms:created>
  <dcterms:modified xsi:type="dcterms:W3CDTF">2021-08-26T08:53:00Z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Overordnet Endringsledelse i Organisasjonen (Prosess)</vt:lpwstr>
  </property>
  <property fmtid="{D5CDD505-2E9C-101B-9397-08002B2CF9AE}" pid="4" name="EK_GjelderFra">
    <vt:lpwstr>07.07.2025</vt:lpwstr>
  </property>
  <property fmtid="{D5CDD505-2E9C-101B-9397-08002B2CF9AE}" pid="5" name="EK_RefNr">
    <vt:lpwstr>KS2017.2.2.2-01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3.02</vt:lpwstr>
  </property>
  <property fmtid="{D5CDD505-2E9C-101B-9397-08002B2CF9AE}" pid="11" name="EK_Watermark">
    <vt:lpwstr/>
  </property>
</Properties>
</file>