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Start w:id="1" w:name="_GoBack"/>
          <w:bookmarkEnd w:id="0"/>
          <w:bookmarkEnd w:id="1"/>
          <w:p w:rsidR="0052577D">
            <w:pPr>
              <w:pStyle w:val="Uthev2"/>
            </w:pPr>
            <w:r>
              <w:fldChar w:fldCharType="begin" w:fldLock="1"/>
            </w:r>
            <w:r>
              <w:instrText>DOCPROPERTY EK_DokTittel</w:instrText>
            </w:r>
            <w:r>
              <w:fldChar w:fldCharType="separate"/>
            </w:r>
            <w:r>
              <w:t>HMS - Epilepsi- Akutte epileptiske anfall</w:t>
            </w:r>
            <w:r>
              <w:fldChar w:fldCharType="end"/>
            </w:r>
          </w:p>
        </w:tc>
      </w:tr>
    </w:tbl>
    <w:p w:rsidR="0052577D"/>
    <w:p w:rsidR="0052577D"/>
    <w:p w:rsidR="0052577D">
      <w:r w:rsidRPr="000114DA">
        <w:rPr>
          <w:b/>
          <w:highlight w:val="yellow"/>
        </w:rPr>
        <w:t xml:space="preserve">Medisin til bruk under epileptiske anfall står i hvitt førstehjelpsskap på </w:t>
      </w:r>
      <w:r>
        <w:rPr>
          <w:b/>
          <w:highlight w:val="yellow"/>
        </w:rPr>
        <w:t>arkivr</w:t>
      </w:r>
      <w:r w:rsidRPr="000114DA">
        <w:rPr>
          <w:b/>
          <w:highlight w:val="yellow"/>
        </w:rPr>
        <w:t>om i administrasjonen til vgs</w:t>
      </w:r>
      <w:r w:rsidRPr="000114DA">
        <w:rPr>
          <w:highlight w:val="yellow"/>
        </w:rPr>
        <w:t>.</w:t>
      </w:r>
      <w:r>
        <w:t xml:space="preserve"> Skapet ser du med en gang du går inn døren til arkivrom.</w:t>
      </w:r>
    </w:p>
    <w:p w:rsidR="0052577D"/>
    <w:p w:rsidR="0052577D"/>
    <w:p w:rsidR="000114DA">
      <w:pPr>
        <w:rPr>
          <w:rFonts w:ascii="Arial" w:hAnsi="Arial" w:cs="Arial"/>
          <w:color w:val="222222"/>
          <w:sz w:val="33"/>
          <w:szCs w:val="33"/>
          <w:shd w:val="clear" w:color="auto" w:fill="FFFFFF"/>
        </w:rPr>
      </w:pPr>
      <w:r>
        <w:rPr>
          <w:rFonts w:ascii="Arial" w:hAnsi="Arial" w:cs="Arial"/>
          <w:color w:val="222222"/>
          <w:sz w:val="33"/>
          <w:szCs w:val="33"/>
          <w:shd w:val="clear" w:color="auto" w:fill="FFFFFF"/>
        </w:rPr>
        <w:t>Akutte epileptiske anfall varer i de fleste tilfeller mindre enn to minutter. Ved epileptiske krampeanfall som varer i mer enn 5 minutter bør du ringe 113.</w:t>
      </w:r>
    </w:p>
    <w:p w:rsidR="000114DA">
      <w:pPr>
        <w:rPr>
          <w:rFonts w:ascii="Arial" w:hAnsi="Arial" w:cs="Arial"/>
          <w:color w:val="222222"/>
          <w:sz w:val="33"/>
          <w:szCs w:val="33"/>
          <w:shd w:val="clear" w:color="auto" w:fill="FFFFFF"/>
        </w:rPr>
      </w:pPr>
    </w:p>
    <w:p w:rsidR="000114DA" w:rsidP="000114DA">
      <w:pPr>
        <w:pStyle w:val="Heading2"/>
        <w:shd w:val="clear" w:color="auto" w:fill="FFFFFF"/>
        <w:spacing w:before="0" w:after="150"/>
        <w:rPr>
          <w:rFonts w:ascii="Times New Roman" w:hAnsi="Times New Roman"/>
          <w:b w:val="0"/>
          <w:color w:val="222222"/>
          <w:sz w:val="30"/>
          <w:szCs w:val="30"/>
        </w:rPr>
      </w:pPr>
      <w:r>
        <w:rPr>
          <w:b w:val="0"/>
          <w:bCs/>
          <w:color w:val="222222"/>
          <w:sz w:val="30"/>
          <w:szCs w:val="30"/>
        </w:rPr>
        <w:t>Hva kan andre gjøre under et anfall?</w:t>
      </w:r>
    </w:p>
    <w:p w:rsidR="000114DA" w:rsidP="000114DA">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Vitner til anfallet kan ikke gjøre noe for å stanse det, og de bør forholde seg rolige. Ta tiden fra anfallet starter. Sikre omgivelsene.</w:t>
      </w:r>
    </w:p>
    <w:p w:rsidR="000114DA" w:rsidP="000114DA">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I motsetning til hva mange tror, er det ikke noen fare for at den syke svelger sin egen tunge under et anfall, men enkelte kan bite seg hardt. Likevel skal det ikke legges noe inn i munnen på den som har epilepsi, under anfallet, selv om hensikten er å beskytte tungen. Klær eller annet som eventuelt tildekker luftveiene bør fjernes slik at personen kan puste fritt. </w:t>
      </w:r>
    </w:p>
    <w:p w:rsidR="000114DA" w:rsidP="000114DA">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Vitnene skal ikke forsøke å holde personen som har anfallet i ro under krampene, men i stedet legge et mykt underlag under hodet slik at vedkommende ikke slår seg hardt. Skarpe og farlige gjenstander må fjernes for å unngå at personen skader seg.</w:t>
      </w:r>
    </w:p>
    <w:p w:rsidR="000114DA" w:rsidP="000114DA">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Når du er vitne til et anfall, og du er usikker på hva du ser, ring nødsentralen 113. Dersom det dreier seg om et epileptisk anfall går det normalt over av seg selv i løpet av få minutter. Det generelle rådet er å tilkalle akuttmedisinsk hjelp og/eller gi akuttmedisin ved krampeanfall som varer fem minutter eller lenger. </w:t>
      </w:r>
    </w:p>
    <w:p w:rsidR="000114DA" w:rsidP="000114DA">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Ut over dette er det eneste man kan gjøre å være tilstede sammen med personen som har anfall. Etter anfallet vil han eller hun sannsynligvis være svært trøtt, sliten og forvirret. Bli hos personen inntil hun/han er ved bevissthet igjen. Vedkommende kan ha bitt seg eller pådratt seg andre skader, og har gjerne behov for tørre klær.</w:t>
      </w:r>
    </w:p>
    <w:p w:rsidR="000114DA"/>
    <w:p w:rsidR="000114DA" w:rsidRPr="000114DA" w:rsidP="000114DA">
      <w:pPr>
        <w:pStyle w:val="Heading2"/>
        <w:shd w:val="clear" w:color="auto" w:fill="FFFFFF"/>
        <w:rPr>
          <w:rFonts w:ascii="Arial" w:hAnsi="Arial" w:cs="Arial"/>
          <w:color w:val="000000"/>
          <w:sz w:val="24"/>
          <w:szCs w:val="24"/>
        </w:rPr>
      </w:pPr>
      <w:r w:rsidRPr="000114DA">
        <w:rPr>
          <w:rFonts w:ascii="Arial" w:hAnsi="Arial" w:cs="Arial"/>
          <w:color w:val="000000"/>
          <w:sz w:val="24"/>
          <w:szCs w:val="24"/>
        </w:rPr>
        <w:t>Generell instruks for førstehjelp ved epilepsianfall</w:t>
      </w:r>
    </w:p>
    <w:p w:rsidR="000114DA" w:rsidRPr="000114DA" w:rsidP="000114DA">
      <w:pPr>
        <w:numPr>
          <w:ilvl w:val="0"/>
          <w:numId w:val="4"/>
        </w:numPr>
        <w:shd w:val="clear" w:color="auto" w:fill="FFFFFF"/>
        <w:rPr>
          <w:rFonts w:ascii="Arial" w:hAnsi="Arial" w:cs="Arial"/>
          <w:color w:val="000000"/>
          <w:sz w:val="24"/>
          <w:szCs w:val="24"/>
        </w:rPr>
      </w:pPr>
      <w:r w:rsidRPr="000114DA">
        <w:rPr>
          <w:rFonts w:ascii="Arial" w:hAnsi="Arial" w:cs="Arial"/>
          <w:color w:val="000000"/>
          <w:sz w:val="24"/>
          <w:szCs w:val="24"/>
        </w:rPr>
        <w:t>Ta tiden.</w:t>
      </w:r>
    </w:p>
    <w:p w:rsidR="000114DA" w:rsidRPr="000114DA" w:rsidP="000114DA">
      <w:pPr>
        <w:numPr>
          <w:ilvl w:val="0"/>
          <w:numId w:val="4"/>
        </w:numPr>
        <w:shd w:val="clear" w:color="auto" w:fill="FFFFFF"/>
        <w:rPr>
          <w:rFonts w:ascii="Arial" w:hAnsi="Arial" w:cs="Arial"/>
          <w:color w:val="000000"/>
          <w:sz w:val="24"/>
          <w:szCs w:val="24"/>
        </w:rPr>
      </w:pPr>
      <w:r w:rsidRPr="000114DA">
        <w:rPr>
          <w:rFonts w:ascii="Arial" w:hAnsi="Arial" w:cs="Arial"/>
          <w:color w:val="000000"/>
          <w:sz w:val="24"/>
          <w:szCs w:val="24"/>
        </w:rPr>
        <w:t>Ring 113 hvis du er i tvil om hvordan du skal håndtere anfallet.</w:t>
      </w:r>
    </w:p>
    <w:p w:rsidR="000114DA" w:rsidRPr="000114DA" w:rsidP="000114DA">
      <w:pPr>
        <w:numPr>
          <w:ilvl w:val="0"/>
          <w:numId w:val="4"/>
        </w:numPr>
        <w:shd w:val="clear" w:color="auto" w:fill="FFFFFF"/>
        <w:rPr>
          <w:rFonts w:ascii="Arial" w:hAnsi="Arial" w:cs="Arial"/>
          <w:color w:val="000000"/>
          <w:sz w:val="24"/>
          <w:szCs w:val="24"/>
        </w:rPr>
      </w:pPr>
      <w:r w:rsidRPr="000114DA">
        <w:rPr>
          <w:rFonts w:ascii="Arial" w:hAnsi="Arial" w:cs="Arial"/>
          <w:color w:val="000000"/>
          <w:sz w:val="24"/>
          <w:szCs w:val="24"/>
        </w:rPr>
        <w:t>Pass på at personen ikke skader seg selv under anfallet.</w:t>
      </w:r>
    </w:p>
    <w:p w:rsidR="000114DA" w:rsidRPr="000114DA" w:rsidP="000114DA">
      <w:pPr>
        <w:numPr>
          <w:ilvl w:val="0"/>
          <w:numId w:val="4"/>
        </w:numPr>
        <w:shd w:val="clear" w:color="auto" w:fill="FFFFFF"/>
        <w:rPr>
          <w:rFonts w:ascii="Arial" w:hAnsi="Arial" w:cs="Arial"/>
          <w:color w:val="000000"/>
          <w:sz w:val="24"/>
          <w:szCs w:val="24"/>
        </w:rPr>
      </w:pPr>
      <w:r w:rsidRPr="000114DA">
        <w:rPr>
          <w:rFonts w:ascii="Arial" w:hAnsi="Arial" w:cs="Arial"/>
          <w:color w:val="000000"/>
          <w:sz w:val="24"/>
          <w:szCs w:val="24"/>
        </w:rPr>
        <w:t>Se til at personen har frie luftveier.</w:t>
      </w:r>
    </w:p>
    <w:p w:rsidR="000114DA" w:rsidRPr="000114DA" w:rsidP="000114DA">
      <w:pPr>
        <w:numPr>
          <w:ilvl w:val="0"/>
          <w:numId w:val="4"/>
        </w:numPr>
        <w:shd w:val="clear" w:color="auto" w:fill="FFFFFF"/>
        <w:rPr>
          <w:rFonts w:ascii="Arial" w:hAnsi="Arial" w:cs="Arial"/>
          <w:color w:val="000000"/>
          <w:sz w:val="24"/>
          <w:szCs w:val="24"/>
        </w:rPr>
      </w:pPr>
      <w:r w:rsidRPr="000114DA">
        <w:rPr>
          <w:rFonts w:ascii="Arial" w:hAnsi="Arial" w:cs="Arial"/>
          <w:color w:val="000000"/>
          <w:sz w:val="24"/>
          <w:szCs w:val="24"/>
        </w:rPr>
        <w:t>Bli hos personen til bevissthet er gjenvunnet.</w:t>
      </w:r>
    </w:p>
    <w:p w:rsidR="000114DA" w:rsidRPr="000114DA" w:rsidP="000114DA">
      <w:pPr>
        <w:numPr>
          <w:ilvl w:val="0"/>
          <w:numId w:val="4"/>
        </w:numPr>
        <w:shd w:val="clear" w:color="auto" w:fill="FFFFFF"/>
        <w:rPr>
          <w:rFonts w:ascii="Arial" w:hAnsi="Arial" w:cs="Arial"/>
          <w:color w:val="000000"/>
          <w:sz w:val="24"/>
          <w:szCs w:val="24"/>
        </w:rPr>
      </w:pPr>
      <w:r w:rsidRPr="000114DA">
        <w:rPr>
          <w:rFonts w:ascii="Arial" w:hAnsi="Arial" w:cs="Arial"/>
          <w:color w:val="000000"/>
          <w:sz w:val="24"/>
          <w:szCs w:val="24"/>
        </w:rPr>
        <w:t>Ved anfallsvarighet over 5 minutter, tilkall ambulanse og/eller administrer akuttmedisin.</w:t>
      </w:r>
    </w:p>
    <w:p w:rsidR="000114DA" w:rsidRPr="000114DA">
      <w:pPr>
        <w:rPr>
          <w:rFonts w:ascii="Arial" w:hAnsi="Arial" w:cs="Arial"/>
          <w:sz w:val="24"/>
          <w:szCs w:val="24"/>
        </w:rPr>
      </w:pPr>
    </w:p>
    <w:p w:rsidR="000114DA"/>
    <w:p w:rsidR="000114DA"/>
    <w:p w:rsidR="0052577D">
      <w:pPr>
        <w:pStyle w:val="Normal2"/>
      </w:pPr>
    </w:p>
    <w:p w:rsidR="0052577D">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pPr>
        <w:pStyle w:val="Punktheading"/>
      </w:pPr>
      <w:bookmarkEnd w:id="2"/>
      <w:r>
        <w:t>Eksterne referanser</w:t>
      </w:r>
    </w:p>
    <w:p w:rsidR="000114DA" w:rsidP="000114DA"/>
    <w:p w:rsidR="000114DA" w:rsidP="000114DA">
      <w:hyperlink r:id="rId4" w:history="1">
        <w:r>
          <w:rPr>
            <w:rStyle w:val="Hyperlink"/>
          </w:rPr>
          <w:t>https://nhi.no/sykdommer/hjernenervesystem/epilepsi/akutte-epileptiske-anfall/</w:t>
        </w:r>
      </w:hyperlink>
    </w:p>
    <w:p w:rsidR="000114DA" w:rsidRPr="000114DA" w:rsidP="000114D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3" w:name="EK_EksRef"/>
            <w:r>
              <w:rPr>
                <w:b w:val="0"/>
                <w:color w:val="0000FF"/>
                <w:u w:val="single"/>
              </w:rPr>
              <w:t xml:space="preserve"> </w:t>
            </w:r>
          </w:p>
        </w:tc>
      </w:tr>
    </w:tbl>
    <w:p w:rsidR="0052577D">
      <w:pPr>
        <w:pStyle w:val="Normal2"/>
      </w:pPr>
      <w:bookmarkEnd w:id="3"/>
    </w:p>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4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11.04.2025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KS2017.2.1.8-32</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40701D">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40701D">
            <w:rPr>
              <w:rFonts w:ascii="Verdana" w:hAnsi="Verdana"/>
              <w:i w:val="0"/>
              <w:noProof/>
              <w:sz w:val="20"/>
              <w:lang w:val="nb-NO" w:eastAsia="en-US" w:bidi="ar-SA"/>
            </w:rPr>
            <w:t>2</w:t>
          </w:r>
          <w:r>
            <w:rPr>
              <w:i w:val="0"/>
              <w:sz w:val="20"/>
            </w:rPr>
            <w:fldChar w:fldCharType="end"/>
          </w:r>
        </w:p>
      </w:tc>
    </w:tr>
  </w:tbl>
  <w:p w:rsidR="008348DF" w:rsidP="008348DF">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479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40701D"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40701D"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40701D"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40701D"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407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4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3">
    <w:nsid w:val="387E0883"/>
    <w:multiLevelType w:val="multilevel"/>
    <w:tmpl w:val="95C89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Full" w:cryptAlgorithmClass="hash" w:cryptAlgorithmType="typeAny" w:cryptAlgorithmSid="4" w:cryptSpinCount="50000" w:hash="7HyB3y8OxoZk4WGdw6P6b4sRy4Q=&#10;" w:salt="hIqOl99kIr/+N0hyovEq7Q==&#10;"/>
  <w:zoom w:val="bestFit" w:percent="12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7D"/>
    <w:rsid w:val="000114DA"/>
    <w:rsid w:val="00023831"/>
    <w:rsid w:val="00037330"/>
    <w:rsid w:val="00061265"/>
    <w:rsid w:val="000877EE"/>
    <w:rsid w:val="00136820"/>
    <w:rsid w:val="00183679"/>
    <w:rsid w:val="001D40A2"/>
    <w:rsid w:val="003B4961"/>
    <w:rsid w:val="003C6DAE"/>
    <w:rsid w:val="0040701D"/>
    <w:rsid w:val="004323E1"/>
    <w:rsid w:val="00474792"/>
    <w:rsid w:val="004E6573"/>
    <w:rsid w:val="0051404E"/>
    <w:rsid w:val="0052577D"/>
    <w:rsid w:val="00592471"/>
    <w:rsid w:val="005C51C7"/>
    <w:rsid w:val="005E76BE"/>
    <w:rsid w:val="00742174"/>
    <w:rsid w:val="007A7A3C"/>
    <w:rsid w:val="008348DF"/>
    <w:rsid w:val="0086091A"/>
    <w:rsid w:val="00893324"/>
    <w:rsid w:val="008D11BF"/>
    <w:rsid w:val="008D52AE"/>
    <w:rsid w:val="00922FFB"/>
    <w:rsid w:val="00A62371"/>
    <w:rsid w:val="00A81B36"/>
    <w:rsid w:val="00B43266"/>
    <w:rsid w:val="00BF5B13"/>
    <w:rsid w:val="00C04BAF"/>
    <w:rsid w:val="00C760BD"/>
    <w:rsid w:val="00CA6626"/>
    <w:rsid w:val="00CC5637"/>
    <w:rsid w:val="00CF0DEE"/>
    <w:rsid w:val="00D217AA"/>
    <w:rsid w:val="00D64EEC"/>
    <w:rsid w:val="00D871B1"/>
    <w:rsid w:val="00DE400E"/>
    <w:rsid w:val="00DF7CD7"/>
    <w:rsid w:val="00E35F25"/>
    <w:rsid w:val="00E506A8"/>
    <w:rsid w:val="00F064EF"/>
    <w:rsid w:val="00F10EB6"/>
    <w:rsid w:val="00F9760E"/>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02.10.2019¤3#EK_Opprettet¤2#0¤2#02.10.2019¤3#EK_Utgitt¤2#0¤2#02.10.2019¤3#EK_IBrukDato¤2#0¤2#11.12.2019¤3#EK_DokumentID¤2#0¤2#D00758¤3#EK_DokTittel¤2#0¤2#HMS - Epilepsi- Akutte epileptiske anfall¤3#EK_DokType¤2#0¤2#Dokument¤3#EK_EksRef¤2#2¤2# 0_x0009_¤3#EK_Erstatter¤2#0¤2# ¤3#EK_ErstatterD¤2#0¤2# ¤3#EK_Signatur¤2#0¤2#Jan Kåre Greve¤3#EK_Verifisert¤2#0¤2# ¤3#EK_Hørt¤2#0¤2# ¤3#EK_AuditReview¤2#2¤2# ¤3#EK_AuditApprove¤2#2¤2# ¤3#EK_Gradering¤2#0¤2#Åpen¤3#EK_Gradnr¤2#4¤2#0¤3#EK_Kapittel¤2#4¤2# ¤3#EK_Referanse¤2#2¤2# 0_x0009_¤3#EK_RefNr¤2#0¤2#-KS-4.1-02¤3#EK_Revisjon¤2#0¤2#1.00¤3#EK_Ansvarlig¤2#0¤2#Eirik Ørn¤3#EK_SkrevetAv¤2#0¤2#Eirik Ørn¤3#EK_UText1¤2#0¤2# ¤3#EK_UText2¤2#0¤2# ¤3#EK_UText3¤2#0¤2# ¤3#EK_UText4¤2#0¤2# ¤3#EK_Status¤2#0¤2#I bruk¤3#EK_Stikkord¤2#0¤2#¤3#EK_SuperStikkord¤2#0¤2#¤3#EK_Rapport¤2#3¤2#¤3#EK_EKPrintMerke¤2#0¤2#Uoffisiell utskrift er kun gyldig på utskriftsdato¤3#EK_Watermark¤2#0¤2#¤3#EK_Utgave¤2#0¤2#1.00¤3#EK_Merknad¤2#7¤2#¤3#EK_VerLogg¤2#2¤2# ¤3#EK_RF1¤2#4¤2# ¤3#EK_RF2¤2#4¤2# ¤3#EK_RF3¤2#4¤2# ¤3#EK_RF4¤2#4¤2# ¤3#EK_RF5¤2#4¤2# ¤3#EK_RF6¤2#4¤2# ¤3#EK_RF7¤2#4¤2# ¤3#EK_RF8¤2#4¤2# ¤3#EK_RF9¤2#4¤2# ¤3#EK_Mappe1¤2#4¤2# ¤3#EK_Mappe2¤2#4¤2# ¤3#EK_Mappe3¤2#4¤2# ¤3#EK_Mappe4¤2#4¤2# ¤3#EK_Mappe5¤2#4¤2# ¤3#EK_Mappe6¤2#4¤2# ¤3#EK_Mappe7¤2#4¤2# ¤3#EK_Mappe8¤2#4¤2# ¤3#EK_Mappe9¤2#4¤2# ¤3#EK_DL¤2#0¤2#2¤3#EK_GjelderTil¤2#0¤2#02.10.2020¤3#EK_Vedlegg¤2#2¤2# 0_x0009_¤3#EK_AvdelingOver¤2#4¤2# ¤3#EK_HRefNr¤2#0¤2# ¤3#EK_HbNavn¤2#0¤2# ¤3#EK_DokRefnr¤2#4¤2#00010401¤3#EK_Dokendrdato¤2#4¤2#18.06.2020 10:34:24¤3#EK_HbType¤2#4¤2# ¤3#EK_Offisiell¤2#4¤2# ¤3#EK_VedleggRef¤2#4¤2#-KS-4.1-02¤3#EK_Strukt00¤2#5¤2#-¤5#KS¤5#KVALITETSSYSTEM¤5#1¤5#0¤4#-¤5#4¤5#DRIFTSFASEN¤5#0¤5#0¤4#.¤5#1¤5#Generelt¤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4¤5#DRIFTSFASEN¤5#0¤5#0¤4#.¤5#1¤5#Generelt¤5#0¤5#0¤4#\¤3#"/>
    <w:docVar w:name="ek_dl" w:val="2"/>
    <w:docVar w:name="ek_doktittel" w:val="HMS - Epilepsi- Akutte epileptiske anfall"/>
    <w:docVar w:name="ek_doktype" w:val="Dokument"/>
    <w:docVar w:name="ek_dokumentid" w:val="D00758"/>
    <w:docVar w:name="ek_erstatter" w:val=" "/>
    <w:docVar w:name="ek_erstatterd" w:val=" "/>
    <w:docVar w:name="ek_format" w:val="-10"/>
    <w:docVar w:name="ek_gjelderfra" w:val="02.10.2019"/>
    <w:docVar w:name="ek_gjeldertil" w:val="02.10.2020"/>
    <w:docVar w:name="ek_gradering" w:val="Åpen"/>
    <w:docVar w:name="ek_hbnavn" w:val=" "/>
    <w:docVar w:name="ek_hrefnr" w:val=" "/>
    <w:docVar w:name="ek_hørt" w:val=" "/>
    <w:docVar w:name="ek_ibrukdato" w:val="11.12.2019"/>
    <w:docVar w:name="ek_merknad" w:val="[]"/>
    <w:docVar w:name="ek_opprettet" w:val="02.10.2019"/>
    <w:docVar w:name="ek_rapport" w:val="[]"/>
    <w:docVar w:name="ek_refnr" w:val="-KS-4.1-02"/>
    <w:docVar w:name="ek_revisjon" w:val="1.00"/>
    <w:docVar w:name="ek_s00m0101" w:val="KVALITETSSYSTEM"/>
    <w:docVar w:name="ek_s00m0201" w:val="DRIFTSFASEN"/>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0"/>
    <w:docVar w:name="ek_utgitt" w:val="02.10.2019"/>
    <w:docVar w:name="ek_verifisert" w:val=" "/>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162162CF-F667-4CA0-9CD3-3EA8AFC5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NormalWeb">
    <w:name w:val="Normal (Web)"/>
    <w:basedOn w:val="Normal"/>
    <w:uiPriority w:val="99"/>
    <w:unhideWhenUsed/>
    <w:rsid w:val="000114DA"/>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0114DA"/>
    <w:rPr>
      <w:color w:val="0000FF"/>
      <w:u w:val="single"/>
    </w:rPr>
  </w:style>
  <w:style w:type="paragraph" w:styleId="BalloonText">
    <w:name w:val="Balloon Text"/>
    <w:basedOn w:val="Normal"/>
    <w:link w:val="BobletekstTegn"/>
    <w:rsid w:val="00F9760E"/>
    <w:rPr>
      <w:rFonts w:ascii="Tahoma" w:hAnsi="Tahoma" w:cs="Tahoma"/>
      <w:sz w:val="16"/>
      <w:szCs w:val="16"/>
    </w:rPr>
  </w:style>
  <w:style w:type="character" w:customStyle="1" w:styleId="BobletekstTegn">
    <w:name w:val="Bobletekst Tegn"/>
    <w:basedOn w:val="DefaultParagraphFont"/>
    <w:link w:val="BalloonText"/>
    <w:rsid w:val="00F97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hi.no/sykdommer/hjernenervesystem/epilepsi/akutte-epileptiske-anfall/"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2</Pages>
  <Words>380</Words>
  <Characters>1987</Characters>
  <Application>Microsoft Office Word</Application>
  <DocSecurity>4</DocSecurity>
  <Lines>55</Lines>
  <Paragraphs>20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HMS - Epilepsi- Akutte epileptiske anfall</vt:lpstr>
      <vt:lpstr>Standard</vt:lpstr>
    </vt:vector>
  </TitlesOfParts>
  <Company>Datakvalitet</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HMS - Epilepsi- Akutte epileptiske anfall</dc:title>
  <dc:subject>00010401|-KS-4.1-02|</dc:subject>
  <dc:creator>Handbok</dc:creator>
  <dc:description>EK_Avdeling_x0002_4_x0002_ _x0003_EK_Avsnitt_x0002_4_x0002_ _x0003_EK_Bedriftsnavn_x0002_1_x0002_Laksevåg og Bergen Maritime Vgs_x0003_EK_GjelderFra_x0002_0_x0002_02.10.2019_x0003_EK_Opprettet_x0002_0_x0002_02.10.2019_x0003_EK_Utgitt_x0002_0_x0002_02.10.2019_x0003_EK_IBrukDato_x0002_0_x0002_11.12.2019_x0003_EK_DokumentID_x0002_0_x0002_D00758_x0003_EK_DokTittel_x0002_0_x0002_HMS - Epilepsi- Akutte epileptiske anfall_x0003_EK_DokType_x0002_0_x0002_Dokument_x0003_EK_EksRef_x0002_2_x0002_ 0	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_x0003_EK_RefNr_x0002_0_x0002_-KS-4.1-02_x0003_EK_Revisjon_x0002_0_x0002_1.00_x0003_EK_Ansvarlig_x0002_0_x0002_Eirik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_x0003_EK_DL_x0002_0_x0002_2_x0003_EK_GjelderTil_x0002_0_x0002_02.10.2020_x0003_EK_Vedlegg_x0002_2_x0002_ 0	_x0003_EK_AvdelingOver_x0002_4_x0002_ _x0003_EK_HRefNr_x0002_0_x0002_ _x0003_EK_HbNavn_x0002_0_x0002_ _x0003_EK_DokRefnr_x0002_4_x0002_00010401_x0003_EK_Dokendrdato_x0002_4_x0002_18.06.2020 10:34:24_x0003_EK_HbType_x0002_4_x0002_ _x0003_EK_Offisiell_x0002_4_x0002_ _x0003_EK_VedleggRef_x0002_4_x0002_-KS-4.1-02_x0003_EK_Strukt00_x0002_5_x0002_-_x0005_KS_x0005_KVALITETSSYSTEM_x0005_1_x0005_0_x0004_-_x0005_4_x0005_DRIFTSFASEN_x0005_0_x0005_0_x0004_._x0005_1_x0005_Generelt_x0005_0_x0005_0_x0004_\_x0003_EK_Strukt01_x0002_5_x0002__x0003_EK_Pub_x0002_6_x0002_;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_x0003_EKR_Strukt00_x0002_5_x0002_-_x0005_KS_x0005_KVALITETSSYSTEM_x0005_1_x0005_0_x0004_-_x0005_4_x0005_DRIFTSFASEN_x0005_0_x0005_0_x0004_._x0005_1_x0005_Generelt_x0005_0_x0005_0_x0004_\_x0003_</dc:description>
  <cp:lastModifiedBy>Eirik Ørn</cp:lastModifiedBy>
  <cp:revision>2</cp:revision>
  <cp:lastPrinted>2008-01-07T10:39:00Z</cp:lastPrinted>
  <dcterms:created xsi:type="dcterms:W3CDTF">2020-07-20T09:30:00Z</dcterms:created>
  <dcterms:modified xsi:type="dcterms:W3CDTF">2020-07-20T09:30:00Z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HMS - Epilepsi- Akutte epileptiske anfall</vt:lpwstr>
  </property>
  <property fmtid="{D5CDD505-2E9C-101B-9397-08002B2CF9AE}" pid="4" name="EK_GjelderFra">
    <vt:lpwstr>11.04.2025</vt:lpwstr>
  </property>
  <property fmtid="{D5CDD505-2E9C-101B-9397-08002B2CF9AE}" pid="5" name="EK_RefNr">
    <vt:lpwstr>KS2017.2.1.8-32</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
  </property>
</Properties>
</file>