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709"/>
      </w:tblGrid>
      <w:tr w:rsidTr="00EE7D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Pr>
        <w:tc>
          <w:tcPr>
            <w:tcW w:w="9709" w:type="dxa"/>
            <w:tcBorders>
              <w:top w:val="single" w:sz="4" w:space="0" w:color="auto"/>
              <w:left w:val="single" w:sz="4" w:space="0" w:color="auto"/>
              <w:bottom w:val="single" w:sz="4" w:space="0" w:color="auto"/>
              <w:right w:val="single" w:sz="4" w:space="0" w:color="auto"/>
            </w:tcBorders>
            <w:hideMark/>
          </w:tcPr>
          <w:bookmarkStart w:id="0" w:name="tempHer"/>
          <w:bookmarkEnd w:id="0"/>
          <w:p w:rsidR="00EE7D99">
            <w:pPr>
              <w:pStyle w:val="Uthev2"/>
              <w:rPr>
                <w:sz w:val="24"/>
              </w:rPr>
            </w:pPr>
            <w:r>
              <w:rPr>
                <w:sz w:val="24"/>
              </w:rPr>
              <w:fldChar w:fldCharType="begin" w:fldLock="1"/>
            </w:r>
            <w:r>
              <w:rPr>
                <w:color w:val="000080"/>
                <w:sz w:val="24"/>
              </w:rPr>
              <w:instrText>DOCPROPERTY EK_DokTittel</w:instrText>
            </w:r>
            <w:r>
              <w:rPr>
                <w:sz w:val="24"/>
              </w:rPr>
              <w:fldChar w:fldCharType="separate"/>
            </w:r>
            <w:r>
              <w:rPr>
                <w:color w:val="000080"/>
                <w:sz w:val="24"/>
              </w:rPr>
              <w:t>Prosedyre for elevenes studieprogresjon, underveisvurdering og sluttvurdering</w:t>
            </w:r>
            <w:r>
              <w:rPr>
                <w:sz w:val="24"/>
              </w:rPr>
              <w:fldChar w:fldCharType="end"/>
            </w:r>
          </w:p>
        </w:tc>
      </w:tr>
    </w:tbl>
    <w:p w:rsidR="00EE7D99" w:rsidP="00EE7D99">
      <w:pPr>
        <w:pStyle w:val="Normal2"/>
      </w:pPr>
    </w:p>
    <w:p w:rsidR="00EE7D99" w:rsidP="00EE7D99">
      <w:pPr>
        <w:rPr>
          <w:b/>
          <w:sz w:val="16"/>
          <w:szCs w:val="16"/>
        </w:rPr>
      </w:pPr>
      <w:r>
        <w:br/>
      </w:r>
      <w:r>
        <w:rPr>
          <w:b/>
          <w:sz w:val="16"/>
          <w:szCs w:val="16"/>
        </w:rPr>
        <w:t>Formål</w:t>
      </w:r>
      <w:r>
        <w:rPr>
          <w:b/>
          <w:sz w:val="16"/>
          <w:szCs w:val="16"/>
        </w:rPr>
        <w:br/>
      </w:r>
    </w:p>
    <w:p w:rsidR="00EE7D99" w:rsidP="00EE7D99">
      <w:pPr>
        <w:rPr>
          <w:sz w:val="16"/>
          <w:szCs w:val="16"/>
        </w:rPr>
      </w:pPr>
      <w:r>
        <w:rPr>
          <w:sz w:val="16"/>
          <w:szCs w:val="16"/>
        </w:rPr>
        <w:t>Prosedyren skal være et hjelpemiddel for skolen og faglærere ved individuell vurdering av elever på videregående skole og dermed sikre at elevene får god og riktig vurdering på sin progresjon i opplæringen. Jamfør for øvrig også undervisningsevaluering, og elevundersøkelse.</w:t>
      </w:r>
      <w:r>
        <w:rPr>
          <w:sz w:val="16"/>
          <w:szCs w:val="16"/>
        </w:rPr>
        <w:br/>
      </w:r>
    </w:p>
    <w:p w:rsidR="00EE7D99" w:rsidP="00EE7D99">
      <w:pPr>
        <w:rPr>
          <w:b/>
          <w:sz w:val="16"/>
          <w:szCs w:val="16"/>
        </w:rPr>
      </w:pPr>
      <w:r>
        <w:rPr>
          <w:b/>
          <w:sz w:val="16"/>
          <w:szCs w:val="16"/>
        </w:rPr>
        <w:t>Omfang og anvendelse</w:t>
      </w:r>
      <w:r>
        <w:rPr>
          <w:b/>
          <w:sz w:val="16"/>
          <w:szCs w:val="16"/>
        </w:rPr>
        <w:br/>
      </w:r>
    </w:p>
    <w:p w:rsidR="00EE7D99" w:rsidP="00EE7D99">
      <w:pPr>
        <w:rPr>
          <w:sz w:val="16"/>
          <w:szCs w:val="16"/>
        </w:rPr>
      </w:pPr>
      <w:r>
        <w:rPr>
          <w:sz w:val="16"/>
          <w:szCs w:val="16"/>
        </w:rPr>
        <w:t>Prosedyren gjelder for all opplæringsvirksomhet i den videregående skolen.</w:t>
      </w:r>
    </w:p>
    <w:p w:rsidR="00EE7D99" w:rsidP="00EE7D99">
      <w:pPr>
        <w:rPr>
          <w:b/>
          <w:sz w:val="16"/>
          <w:szCs w:val="16"/>
        </w:rPr>
      </w:pPr>
      <w:r>
        <w:rPr>
          <w:sz w:val="16"/>
          <w:szCs w:val="16"/>
        </w:rPr>
        <w:br/>
      </w:r>
      <w:r>
        <w:rPr>
          <w:b/>
          <w:sz w:val="16"/>
          <w:szCs w:val="16"/>
        </w:rPr>
        <w:t>Lovhjemmel</w:t>
      </w:r>
      <w:r>
        <w:rPr>
          <w:b/>
          <w:sz w:val="16"/>
          <w:szCs w:val="16"/>
        </w:rPr>
        <w:br/>
      </w:r>
    </w:p>
    <w:p w:rsidR="00EE7D99" w:rsidP="00EE7D99">
      <w:pPr>
        <w:rPr>
          <w:sz w:val="16"/>
          <w:szCs w:val="16"/>
        </w:rPr>
      </w:pPr>
      <w:r>
        <w:rPr>
          <w:sz w:val="16"/>
          <w:szCs w:val="16"/>
        </w:rPr>
        <w:t>Elever i offentlig videregående opplæring har rett til vurdering etter regler i kapittel 3 i forskrift til opplæringsloven:</w:t>
      </w:r>
      <w:r>
        <w:rPr>
          <w:sz w:val="16"/>
          <w:szCs w:val="16"/>
        </w:rPr>
        <w:br/>
      </w:r>
      <w:r>
        <w:rPr>
          <w:sz w:val="16"/>
          <w:szCs w:val="16"/>
        </w:rPr>
        <w:br/>
      </w:r>
      <w:r>
        <w:rPr>
          <w:i/>
          <w:sz w:val="16"/>
          <w:szCs w:val="16"/>
        </w:rPr>
        <w:t xml:space="preserve"> ”Individuell vurdering i grunnskolen og i vidaregåande opplæring”.</w:t>
      </w:r>
      <w:r>
        <w:rPr>
          <w:sz w:val="16"/>
          <w:szCs w:val="16"/>
        </w:rPr>
        <w:br/>
      </w:r>
    </w:p>
    <w:p w:rsidR="00EE7D99" w:rsidP="00EE7D99">
      <w:pPr>
        <w:rPr>
          <w:sz w:val="16"/>
          <w:szCs w:val="16"/>
        </w:rPr>
      </w:pPr>
      <w:r>
        <w:rPr>
          <w:sz w:val="16"/>
          <w:szCs w:val="16"/>
        </w:rPr>
        <w:t>Det skal være kjent for eleven hva som er kompetansemålene for opplæringen og hva som blir vektlagt i vurderingen av elevens kompetanse. Elevene blir orientert om dette via en gjennomgang av læreplanen i plenum. Det skal også være kjent for eleven hva som er grunnlaget for vurdering og hva som blir vektlagt i vurdering i orden og adferd. Elevene blir orientert av faglærer.</w:t>
      </w:r>
      <w:r>
        <w:rPr>
          <w:sz w:val="16"/>
          <w:szCs w:val="16"/>
        </w:rPr>
        <w:br/>
      </w:r>
    </w:p>
    <w:p w:rsidR="00EE7D99" w:rsidP="00EE7D99">
      <w:pPr>
        <w:rPr>
          <w:b/>
          <w:sz w:val="16"/>
          <w:szCs w:val="16"/>
        </w:rPr>
      </w:pPr>
      <w:r>
        <w:rPr>
          <w:b/>
          <w:sz w:val="16"/>
          <w:szCs w:val="16"/>
        </w:rPr>
        <w:t>Formålet med vurderingen</w:t>
      </w:r>
      <w:r>
        <w:rPr>
          <w:b/>
          <w:sz w:val="16"/>
          <w:szCs w:val="16"/>
        </w:rPr>
        <w:br/>
      </w:r>
    </w:p>
    <w:p w:rsidR="00EE7D99" w:rsidP="00EE7D99">
      <w:pPr>
        <w:rPr>
          <w:sz w:val="16"/>
          <w:szCs w:val="16"/>
        </w:rPr>
      </w:pPr>
      <w:r>
        <w:rPr>
          <w:sz w:val="16"/>
          <w:szCs w:val="16"/>
        </w:rPr>
        <w:t>Formålet med vurdering i et fag er å fremme læringen og uttrykke kompetansen til eleven underveis og ved avslutning av opplæringen i faget. Vurderingen skal gi god tilbakemelding og rettledning til eleven.</w:t>
      </w:r>
      <w:r>
        <w:rPr>
          <w:sz w:val="16"/>
          <w:szCs w:val="16"/>
        </w:rPr>
        <w:br/>
      </w:r>
    </w:p>
    <w:p w:rsidR="00EE7D99" w:rsidP="00EE7D99">
      <w:pPr>
        <w:rPr>
          <w:sz w:val="16"/>
          <w:szCs w:val="16"/>
        </w:rPr>
      </w:pPr>
      <w:r>
        <w:rPr>
          <w:sz w:val="16"/>
          <w:szCs w:val="16"/>
        </w:rPr>
        <w:t>Underveisvurderingen skal brukes som et redskap i læreprosessen, som grunnlag for tilpasset opplæring og bidra til at eleven øker kompetansen sin i faget.</w:t>
      </w:r>
      <w:r>
        <w:rPr>
          <w:sz w:val="16"/>
          <w:szCs w:val="16"/>
        </w:rPr>
        <w:br/>
        <w:t>Sluttvurderingen gir informasjon om kompetansen til eleven ved avslutning av opplæringen i faget.</w:t>
      </w:r>
      <w:r>
        <w:rPr>
          <w:sz w:val="16"/>
          <w:szCs w:val="16"/>
        </w:rPr>
        <w:br/>
      </w:r>
    </w:p>
    <w:p w:rsidR="00EE7D99" w:rsidP="00EE7D99">
      <w:pPr>
        <w:rPr>
          <w:b/>
          <w:sz w:val="16"/>
          <w:szCs w:val="16"/>
        </w:rPr>
      </w:pPr>
      <w:r>
        <w:rPr>
          <w:b/>
          <w:sz w:val="16"/>
          <w:szCs w:val="16"/>
        </w:rPr>
        <w:t>Vurdering i fag</w:t>
      </w:r>
    </w:p>
    <w:p w:rsidR="00EE7D99" w:rsidP="00EE7D99">
      <w:pPr>
        <w:rPr>
          <w:sz w:val="16"/>
          <w:szCs w:val="16"/>
        </w:rPr>
      </w:pPr>
    </w:p>
    <w:p w:rsidR="00EE7D99" w:rsidP="00EE7D99">
      <w:pPr>
        <w:ind w:firstLine="709"/>
        <w:rPr>
          <w:b/>
          <w:color w:val="000080"/>
          <w:sz w:val="16"/>
          <w:szCs w:val="16"/>
        </w:rPr>
      </w:pPr>
      <w:r>
        <w:rPr>
          <w:b/>
          <w:color w:val="000080"/>
          <w:sz w:val="16"/>
          <w:szCs w:val="16"/>
        </w:rPr>
        <w:t>Grunnlaget for vurdering</w:t>
      </w:r>
    </w:p>
    <w:p w:rsidR="00EE7D99" w:rsidP="00EE7D99">
      <w:pPr>
        <w:rPr>
          <w:color w:val="000080"/>
          <w:sz w:val="16"/>
          <w:szCs w:val="16"/>
        </w:rPr>
      </w:pPr>
    </w:p>
    <w:p w:rsidR="00EE7D99" w:rsidP="00EE7D99">
      <w:pPr>
        <w:rPr>
          <w:sz w:val="16"/>
          <w:szCs w:val="16"/>
        </w:rPr>
      </w:pPr>
      <w:r>
        <w:rPr>
          <w:sz w:val="16"/>
          <w:szCs w:val="16"/>
        </w:rPr>
        <w:t>Vurderingskriterier i de enkelte fag danner grunnlag for vurdering. Vurderingskriterier utarbeides ved skolen av faglærere og bekjentgjøres på It’s Learning - for 1. halvår innen uke 40, og for 2. halvår innen 1. februar. Avdelingsleder skal informere nye faglærere om disse frister.</w:t>
      </w:r>
      <w:r>
        <w:rPr>
          <w:sz w:val="16"/>
          <w:szCs w:val="16"/>
        </w:rPr>
        <w:br/>
      </w:r>
    </w:p>
    <w:p w:rsidR="00EE7D99" w:rsidP="00EE7D99">
      <w:pPr>
        <w:rPr>
          <w:b/>
          <w:color w:val="000080"/>
          <w:sz w:val="16"/>
          <w:szCs w:val="16"/>
        </w:rPr>
      </w:pPr>
      <w:r>
        <w:rPr>
          <w:color w:val="000080"/>
          <w:sz w:val="16"/>
          <w:szCs w:val="16"/>
        </w:rPr>
        <w:t xml:space="preserve"> </w:t>
      </w:r>
      <w:r>
        <w:rPr>
          <w:color w:val="000080"/>
          <w:sz w:val="16"/>
          <w:szCs w:val="16"/>
        </w:rPr>
        <w:tab/>
      </w:r>
      <w:r>
        <w:rPr>
          <w:b/>
          <w:color w:val="000080"/>
          <w:sz w:val="16"/>
          <w:szCs w:val="16"/>
        </w:rPr>
        <w:t>Bruk av karakterer i vurderingen</w:t>
      </w:r>
      <w:r>
        <w:rPr>
          <w:b/>
          <w:color w:val="000080"/>
          <w:sz w:val="16"/>
          <w:szCs w:val="16"/>
        </w:rPr>
        <w:br/>
      </w:r>
    </w:p>
    <w:p w:rsidR="00EE7D99" w:rsidP="00EE7D99">
      <w:pPr>
        <w:rPr>
          <w:sz w:val="16"/>
          <w:szCs w:val="16"/>
        </w:rPr>
      </w:pPr>
      <w:r>
        <w:rPr>
          <w:sz w:val="16"/>
          <w:szCs w:val="16"/>
        </w:rPr>
        <w:t>I videregående skole skal det benyttes tallkarakterer i vurderingen. Det skal brukes tallkarakterer fra 1 til 6, og bare hele karakterer skal benyttes, men i tillegg kan pluss og minuskarakterer benyttes i halvårsvurderingen og underveisvurderingen. I videregående opplæring svarer ”Bestått” til karakterene 2 til 6.</w:t>
      </w:r>
    </w:p>
    <w:p w:rsidR="00EE7D99" w:rsidP="00EE7D99">
      <w:pPr>
        <w:rPr>
          <w:sz w:val="16"/>
          <w:szCs w:val="16"/>
        </w:rPr>
      </w:pPr>
    </w:p>
    <w:p w:rsidR="00EE7D99" w:rsidP="00EE7D99">
      <w:pPr>
        <w:ind w:firstLine="709"/>
        <w:rPr>
          <w:b/>
          <w:color w:val="000080"/>
          <w:sz w:val="16"/>
          <w:szCs w:val="16"/>
        </w:rPr>
      </w:pPr>
      <w:r>
        <w:rPr>
          <w:b/>
          <w:color w:val="000080"/>
          <w:sz w:val="16"/>
          <w:szCs w:val="16"/>
        </w:rPr>
        <w:t>Underveisvurdering og halvårsvurdering</w:t>
      </w:r>
    </w:p>
    <w:p w:rsidR="00EE7D99" w:rsidP="00EE7D99">
      <w:pPr>
        <w:rPr>
          <w:color w:val="000080"/>
          <w:sz w:val="16"/>
          <w:szCs w:val="16"/>
        </w:rPr>
      </w:pPr>
    </w:p>
    <w:p w:rsidR="00EE7D99" w:rsidP="00EE7D99">
      <w:pPr>
        <w:rPr>
          <w:sz w:val="16"/>
          <w:szCs w:val="16"/>
        </w:rPr>
      </w:pPr>
      <w:r>
        <w:rPr>
          <w:sz w:val="16"/>
          <w:szCs w:val="16"/>
        </w:rPr>
        <w:t>Underveisvurderingen har læring og utvikling som mål. Underveisvurdering skal brukes som et redskap i læreprosessen, som grunnlag for tilpasset opplæring og bidra til at eleven øker sin kompetanse i faget.</w:t>
      </w:r>
    </w:p>
    <w:p w:rsidR="00EE7D99" w:rsidP="00EE7D99">
      <w:pPr>
        <w:rPr>
          <w:sz w:val="16"/>
          <w:szCs w:val="16"/>
        </w:rPr>
      </w:pPr>
    </w:p>
    <w:p w:rsidR="00EE7D99" w:rsidP="00EE7D99">
      <w:pPr>
        <w:rPr>
          <w:sz w:val="16"/>
          <w:szCs w:val="16"/>
        </w:rPr>
      </w:pPr>
      <w:r>
        <w:rPr>
          <w:sz w:val="16"/>
          <w:szCs w:val="16"/>
        </w:rPr>
        <w:t>Det skal gis underveisvurdering flere ganger i løpet av skoleåret. Denne kan være skriftlig, f.eks. i form av kommentarer på prøver, eller som muntlig tilbakemelding.</w:t>
      </w:r>
    </w:p>
    <w:p w:rsidR="00EE7D99" w:rsidP="00EE7D99">
      <w:pPr>
        <w:rPr>
          <w:sz w:val="16"/>
          <w:szCs w:val="16"/>
        </w:rPr>
      </w:pPr>
    </w:p>
    <w:p w:rsidR="00EE7D99" w:rsidP="00EE7D99">
      <w:pPr>
        <w:rPr>
          <w:color w:val="FF0000"/>
          <w:sz w:val="16"/>
          <w:szCs w:val="16"/>
        </w:rPr>
      </w:pPr>
      <w:r>
        <w:rPr>
          <w:sz w:val="16"/>
          <w:szCs w:val="16"/>
        </w:rPr>
        <w:t>Minst en gang hvert halvår har eleven rett til en samtale med faglærer om sin utvikling i forhold til kompetansemålene i faget. Denne samtalen kalles utviklingssamtalen eller fagsamtalen. Faglærer fører oversikt over avholdte samtaler.</w:t>
      </w:r>
    </w:p>
    <w:p w:rsidR="00EE7D99" w:rsidP="00EE7D99">
      <w:pPr>
        <w:rPr>
          <w:color w:val="FF0000"/>
          <w:sz w:val="16"/>
          <w:szCs w:val="16"/>
        </w:rPr>
      </w:pPr>
    </w:p>
    <w:p w:rsidR="00EE7D99" w:rsidP="00EE7D99">
      <w:pPr>
        <w:rPr>
          <w:sz w:val="16"/>
          <w:szCs w:val="16"/>
        </w:rPr>
      </w:pPr>
      <w:r>
        <w:rPr>
          <w:sz w:val="16"/>
          <w:szCs w:val="16"/>
        </w:rPr>
        <w:t xml:space="preserve">Halvårsvurdering i et fag er en del av underveisvurderingen og skal vise kompetansen til eleven i forhold til kompetansemålene i læreplanverket. </w:t>
      </w:r>
    </w:p>
    <w:p w:rsidR="00EE7D99" w:rsidP="00EE7D99">
      <w:pPr>
        <w:rPr>
          <w:color w:val="FF0000"/>
          <w:sz w:val="16"/>
          <w:szCs w:val="16"/>
        </w:rPr>
      </w:pPr>
    </w:p>
    <w:p w:rsidR="00EE7D99" w:rsidP="00EE7D99">
      <w:pPr>
        <w:rPr>
          <w:sz w:val="16"/>
          <w:szCs w:val="16"/>
        </w:rPr>
      </w:pPr>
      <w:r>
        <w:rPr>
          <w:sz w:val="16"/>
          <w:szCs w:val="16"/>
        </w:rPr>
        <w:t>Halvårsvurdering med karakter skal gjennomføres midt i opplæringsperioden på hvert årstrinn. Dette gjelder også for orden og adferd. I fellesfag som ikke blir avsluttet i opplæringsåret skal det også gis halvårsvurdering med karakter på slutten av opplæringsåret. Dette gjelder også for orden og adferd.</w:t>
      </w:r>
      <w:r>
        <w:rPr>
          <w:sz w:val="16"/>
          <w:szCs w:val="16"/>
        </w:rPr>
        <w:br/>
      </w:r>
    </w:p>
    <w:p w:rsidR="00EE7D99" w:rsidP="00EE7D99">
      <w:pPr>
        <w:rPr>
          <w:sz w:val="16"/>
          <w:szCs w:val="16"/>
        </w:rPr>
      </w:pPr>
      <w:r>
        <w:rPr>
          <w:sz w:val="16"/>
          <w:szCs w:val="16"/>
        </w:rPr>
        <w:t>Rektor har ansvaret for at faglærer gjennomfører halvårsvurdering med karakter</w:t>
      </w:r>
      <w:r>
        <w:rPr>
          <w:sz w:val="16"/>
          <w:szCs w:val="16"/>
        </w:rPr>
        <w:br/>
      </w:r>
    </w:p>
    <w:p w:rsidR="00EE7D99" w:rsidP="00EE7D99">
      <w:pPr>
        <w:rPr>
          <w:color w:val="FF0000"/>
          <w:sz w:val="16"/>
          <w:szCs w:val="16"/>
        </w:rPr>
      </w:pPr>
      <w:r>
        <w:rPr>
          <w:sz w:val="16"/>
          <w:szCs w:val="16"/>
        </w:rPr>
        <w:t>Det skal kunne dokumenteres at underveisvurdering er gitt. Avdelingsleder og faglærer avklarer seg imellom hvordan underveisvurderingen dokumenteres.</w:t>
      </w:r>
      <w:r>
        <w:rPr>
          <w:color w:val="FF0000"/>
          <w:sz w:val="16"/>
          <w:szCs w:val="16"/>
        </w:rPr>
        <w:br/>
      </w:r>
    </w:p>
    <w:p w:rsidR="00EE7D99" w:rsidP="00EE7D99">
      <w:pPr>
        <w:rPr>
          <w:b/>
          <w:sz w:val="16"/>
          <w:szCs w:val="16"/>
        </w:rPr>
      </w:pPr>
      <w:r>
        <w:rPr>
          <w:b/>
          <w:sz w:val="16"/>
          <w:szCs w:val="16"/>
        </w:rPr>
        <w:t>Sluttvurdering</w:t>
      </w:r>
    </w:p>
    <w:p w:rsidR="00EE7D99" w:rsidP="00EE7D99">
      <w:pPr>
        <w:rPr>
          <w:color w:val="000080"/>
          <w:sz w:val="16"/>
          <w:szCs w:val="16"/>
        </w:rPr>
      </w:pPr>
    </w:p>
    <w:p w:rsidR="00EE7D99" w:rsidP="00EE7D99">
      <w:pPr>
        <w:rPr>
          <w:sz w:val="16"/>
          <w:szCs w:val="16"/>
        </w:rPr>
      </w:pPr>
      <w:r>
        <w:rPr>
          <w:sz w:val="16"/>
          <w:szCs w:val="16"/>
        </w:rPr>
        <w:t>Sluttvurdering skal gi informasjon om kompetansen til eleven ved avslutning av opplæringen i fag i læreplanverket.</w:t>
      </w:r>
      <w:r>
        <w:rPr>
          <w:sz w:val="16"/>
          <w:szCs w:val="16"/>
        </w:rPr>
        <w:br/>
        <w:t>Sluttvurdering i videregående skole er standpunktkarakterer og eksamenskarakterer.</w:t>
      </w:r>
    </w:p>
    <w:p w:rsidR="00EE7D99" w:rsidP="00EE7D99">
      <w:pPr>
        <w:rPr>
          <w:sz w:val="16"/>
          <w:szCs w:val="16"/>
        </w:rPr>
      </w:pPr>
    </w:p>
    <w:p w:rsidR="00EE7D99" w:rsidP="00EE7D99">
      <w:pPr>
        <w:rPr>
          <w:sz w:val="16"/>
          <w:szCs w:val="16"/>
        </w:rPr>
      </w:pPr>
      <w:r>
        <w:rPr>
          <w:sz w:val="16"/>
          <w:szCs w:val="16"/>
        </w:rPr>
        <w:t>Standpunktkarakter er karakter som blir gitt ved avslutning av opplæringen i fag ifølge læreplanverket, og som skal føres på vitnemålet.</w:t>
      </w:r>
    </w:p>
    <w:p w:rsidR="00EE7D99" w:rsidP="00EE7D99">
      <w:pPr>
        <w:rPr>
          <w:sz w:val="16"/>
          <w:szCs w:val="16"/>
        </w:rPr>
      </w:pPr>
    </w:p>
    <w:p w:rsidR="00EE7D99" w:rsidP="00EE7D99">
      <w:pPr>
        <w:rPr>
          <w:sz w:val="16"/>
          <w:szCs w:val="16"/>
        </w:rPr>
      </w:pPr>
      <w:r>
        <w:rPr>
          <w:sz w:val="16"/>
          <w:szCs w:val="16"/>
        </w:rPr>
        <w:t xml:space="preserve">Standpunktkarakteren må baseres på et bredt vurderingsgrunnlag som samlet viser kompetansen eleven har i faget. </w:t>
      </w:r>
    </w:p>
    <w:p w:rsidR="00EE7D99" w:rsidP="00EE7D99">
      <w:pPr>
        <w:rPr>
          <w:sz w:val="16"/>
          <w:szCs w:val="16"/>
        </w:rPr>
      </w:pPr>
    </w:p>
    <w:p w:rsidR="00EE7D99" w:rsidP="00EE7D99">
      <w:pPr>
        <w:rPr>
          <w:sz w:val="16"/>
          <w:szCs w:val="16"/>
        </w:rPr>
      </w:pPr>
      <w:r>
        <w:rPr>
          <w:sz w:val="16"/>
          <w:szCs w:val="16"/>
        </w:rPr>
        <w:t xml:space="preserve">Eleven skal bli gjort kjent med hva det er lagt vekt på i fastsetting av elevens standpunktkarakter. </w:t>
      </w:r>
    </w:p>
    <w:p w:rsidR="00EE7D99" w:rsidP="00EE7D99">
      <w:pPr>
        <w:rPr>
          <w:sz w:val="16"/>
          <w:szCs w:val="16"/>
        </w:rPr>
      </w:pPr>
    </w:p>
    <w:p w:rsidR="00EE7D99" w:rsidP="00EE7D99">
      <w:pPr>
        <w:rPr>
          <w:sz w:val="16"/>
          <w:szCs w:val="16"/>
        </w:rPr>
      </w:pPr>
      <w:r>
        <w:rPr>
          <w:sz w:val="16"/>
          <w:szCs w:val="16"/>
        </w:rPr>
        <w:t>Rektor har ansvaret for at faglærer setter standpunktkarakter.</w:t>
      </w:r>
    </w:p>
    <w:p w:rsidR="00EE7D99" w:rsidP="00EE7D99">
      <w:pPr>
        <w:rPr>
          <w:sz w:val="16"/>
          <w:szCs w:val="16"/>
        </w:rPr>
      </w:pPr>
    </w:p>
    <w:p w:rsidR="00EE7D99" w:rsidP="00EE7D99">
      <w:pPr>
        <w:rPr>
          <w:sz w:val="16"/>
          <w:szCs w:val="16"/>
        </w:rPr>
      </w:pPr>
      <w:r>
        <w:rPr>
          <w:sz w:val="16"/>
          <w:szCs w:val="16"/>
        </w:rPr>
        <w:t>Sluttvurderingen er et enkeltvedtak som kan påklages.</w:t>
      </w:r>
    </w:p>
    <w:p w:rsidR="00EE7D99" w:rsidP="00EE7D99">
      <w:pPr>
        <w:rPr>
          <w:sz w:val="16"/>
          <w:szCs w:val="16"/>
        </w:rPr>
      </w:pPr>
    </w:p>
    <w:p w:rsidR="00EE7D99" w:rsidP="00EE7D99">
      <w:pPr>
        <w:rPr>
          <w:b/>
          <w:sz w:val="16"/>
          <w:szCs w:val="16"/>
        </w:rPr>
      </w:pPr>
      <w:r>
        <w:rPr>
          <w:b/>
          <w:sz w:val="16"/>
          <w:szCs w:val="16"/>
        </w:rPr>
        <w:t>Egenvurdering</w:t>
      </w:r>
    </w:p>
    <w:p w:rsidR="00EE7D99" w:rsidP="00EE7D99">
      <w:pPr>
        <w:rPr>
          <w:b/>
          <w:color w:val="000080"/>
          <w:sz w:val="16"/>
          <w:szCs w:val="16"/>
        </w:rPr>
      </w:pPr>
    </w:p>
    <w:p w:rsidR="00EE7D99" w:rsidP="00EE7D99">
      <w:pPr>
        <w:rPr>
          <w:sz w:val="16"/>
          <w:szCs w:val="16"/>
        </w:rPr>
      </w:pPr>
      <w:r>
        <w:rPr>
          <w:sz w:val="16"/>
          <w:szCs w:val="16"/>
        </w:rPr>
        <w:t>Egenvurderingen til eleven er en del av underveisvurderingen. Eleven skal delta aktivt i vurdering av eget arbeid, egen kompetanse og egen faglig utvikling. Dette kan eksempelvis gjøres under fagsamtalen.</w:t>
      </w:r>
    </w:p>
    <w:p w:rsidR="00EE7D99" w:rsidP="00EE7D99">
      <w:pPr>
        <w:rPr>
          <w:sz w:val="16"/>
          <w:szCs w:val="16"/>
        </w:rPr>
      </w:pPr>
    </w:p>
    <w:p w:rsidR="00EE7D99" w:rsidP="00EE7D99">
      <w:pPr>
        <w:rPr>
          <w:b/>
          <w:sz w:val="16"/>
          <w:szCs w:val="16"/>
        </w:rPr>
      </w:pPr>
      <w:r>
        <w:rPr>
          <w:b/>
          <w:sz w:val="16"/>
          <w:szCs w:val="16"/>
        </w:rPr>
        <w:t>Vurdering i orden og adferd</w:t>
      </w:r>
    </w:p>
    <w:p w:rsidR="00EE7D99" w:rsidP="00EE7D99">
      <w:pPr>
        <w:rPr>
          <w:b/>
          <w:color w:val="0000FF"/>
          <w:sz w:val="16"/>
          <w:szCs w:val="16"/>
        </w:rPr>
      </w:pPr>
    </w:p>
    <w:p w:rsidR="00EE7D99" w:rsidP="00EE7D99">
      <w:pPr>
        <w:rPr>
          <w:sz w:val="16"/>
          <w:szCs w:val="16"/>
        </w:rPr>
      </w:pPr>
      <w:r>
        <w:rPr>
          <w:sz w:val="16"/>
          <w:szCs w:val="16"/>
        </w:rPr>
        <w:t>Grunnlaget for vurdering i orden og adferd er skolens ordensreglement.</w:t>
      </w:r>
    </w:p>
    <w:p w:rsidR="00EE7D99" w:rsidP="00EE7D99">
      <w:pPr>
        <w:rPr>
          <w:sz w:val="16"/>
          <w:szCs w:val="16"/>
        </w:rPr>
      </w:pPr>
    </w:p>
    <w:p w:rsidR="00EE7D99" w:rsidP="00EE7D99">
      <w:pPr>
        <w:rPr>
          <w:sz w:val="16"/>
          <w:szCs w:val="16"/>
        </w:rPr>
      </w:pPr>
      <w:r>
        <w:rPr>
          <w:sz w:val="16"/>
          <w:szCs w:val="16"/>
        </w:rPr>
        <w:t>Grunnlaget for vurdering i orden er knyttet til om eleven er forberedt til opplæringen, og hvordan arbeidsvanene og arbeidsinnsatsen til eleven er. Dette innbefatter blant annet om eleven er punktlig, og følger opp arbeid som skal gjøres, og om eleven har med nødvendig læremiddel og utstyr.</w:t>
      </w:r>
    </w:p>
    <w:p w:rsidR="00EE7D99" w:rsidP="00EE7D99">
      <w:pPr>
        <w:rPr>
          <w:sz w:val="16"/>
          <w:szCs w:val="16"/>
        </w:rPr>
      </w:pPr>
    </w:p>
    <w:p w:rsidR="00EE7D99" w:rsidP="00EE7D99">
      <w:pPr>
        <w:rPr>
          <w:sz w:val="16"/>
          <w:szCs w:val="16"/>
        </w:rPr>
      </w:pPr>
      <w:r>
        <w:rPr>
          <w:sz w:val="16"/>
          <w:szCs w:val="16"/>
        </w:rPr>
        <w:t xml:space="preserve">Grunnlaget for vurdering i adferd er knyttet til hvordan eleven oppfører seg overfor medelever, lærere og andre tilsatte. Det innbefatter blant annet om eleven viser hensyn og respekt for andre. </w:t>
      </w:r>
    </w:p>
    <w:p w:rsidR="00EE7D99" w:rsidP="00EE7D99">
      <w:pPr>
        <w:rPr>
          <w:sz w:val="16"/>
          <w:szCs w:val="16"/>
        </w:rPr>
      </w:pPr>
    </w:p>
    <w:p w:rsidR="00EE7D99" w:rsidP="00EE7D99">
      <w:pPr>
        <w:rPr>
          <w:sz w:val="16"/>
          <w:szCs w:val="16"/>
        </w:rPr>
      </w:pPr>
      <w:r>
        <w:rPr>
          <w:sz w:val="16"/>
          <w:szCs w:val="16"/>
        </w:rPr>
        <w:t>Vurderingen av orden og adferd skal holdes adskilt fra vurderingen av eleven sin kompetanse i fag.</w:t>
      </w:r>
    </w:p>
    <w:p w:rsidR="00EE7D99" w:rsidP="00EE7D99">
      <w:pPr>
        <w:rPr>
          <w:sz w:val="16"/>
          <w:szCs w:val="16"/>
        </w:rPr>
      </w:pPr>
    </w:p>
    <w:p w:rsidR="00EE7D99" w:rsidP="00EE7D99">
      <w:pPr>
        <w:rPr>
          <w:sz w:val="16"/>
          <w:szCs w:val="16"/>
        </w:rPr>
      </w:pPr>
      <w:r>
        <w:rPr>
          <w:sz w:val="16"/>
          <w:szCs w:val="16"/>
        </w:rPr>
        <w:t xml:space="preserve">I vurderingen til orden og adferd benyttes ikke tallkarakter, men karakterene God, Nokså god og Lite god. </w:t>
      </w:r>
    </w:p>
    <w:p w:rsidR="00EE7D99" w:rsidP="00EE7D99">
      <w:pPr>
        <w:rPr>
          <w:sz w:val="16"/>
          <w:szCs w:val="16"/>
        </w:rPr>
      </w:pPr>
    </w:p>
    <w:p w:rsidR="00EE7D99" w:rsidP="00EE7D99">
      <w:pPr>
        <w:rPr>
          <w:sz w:val="16"/>
          <w:szCs w:val="16"/>
        </w:rPr>
      </w:pPr>
      <w:r>
        <w:rPr>
          <w:sz w:val="16"/>
          <w:szCs w:val="16"/>
        </w:rPr>
        <w:t>Fravær kan føre til nedsatt karakter i orden eller i adferd.</w:t>
      </w:r>
    </w:p>
    <w:p w:rsidR="00EE7D99" w:rsidP="00EE7D99">
      <w:pPr>
        <w:rPr>
          <w:sz w:val="16"/>
          <w:szCs w:val="16"/>
        </w:rPr>
      </w:pPr>
    </w:p>
    <w:p w:rsidR="00EE7D99" w:rsidP="00EE7D99">
      <w:pPr>
        <w:rPr>
          <w:sz w:val="16"/>
          <w:szCs w:val="16"/>
        </w:rPr>
      </w:pPr>
      <w:r>
        <w:rPr>
          <w:sz w:val="16"/>
          <w:szCs w:val="16"/>
        </w:rPr>
        <w:t xml:space="preserve">I orden og adferd har rektor ansvaret for at standpunktkarakteren blir fastsatt i møte hvor lærerne til eleven er tilstede. </w:t>
      </w:r>
    </w:p>
    <w:p w:rsidR="00EE7D99" w:rsidP="00EE7D99">
      <w:pPr>
        <w:rPr>
          <w:sz w:val="16"/>
          <w:szCs w:val="16"/>
        </w:rPr>
      </w:pPr>
    </w:p>
    <w:p w:rsidR="00EE7D99" w:rsidP="00EE7D99">
      <w:pPr>
        <w:rPr>
          <w:b/>
          <w:sz w:val="16"/>
          <w:szCs w:val="16"/>
        </w:rPr>
      </w:pPr>
      <w:r>
        <w:rPr>
          <w:b/>
          <w:sz w:val="16"/>
          <w:szCs w:val="16"/>
        </w:rPr>
        <w:t>Varsling</w:t>
      </w:r>
    </w:p>
    <w:p w:rsidR="00EE7D99" w:rsidP="00EE7D99">
      <w:pPr>
        <w:rPr>
          <w:color w:val="0000FF"/>
          <w:sz w:val="16"/>
          <w:szCs w:val="16"/>
        </w:rPr>
      </w:pPr>
    </w:p>
    <w:p w:rsidR="00EE7D99" w:rsidP="00EE7D99">
      <w:pPr>
        <w:ind w:firstLine="709"/>
        <w:rPr>
          <w:b/>
          <w:color w:val="000080"/>
          <w:sz w:val="16"/>
          <w:szCs w:val="16"/>
        </w:rPr>
      </w:pPr>
      <w:r>
        <w:rPr>
          <w:b/>
          <w:color w:val="000080"/>
          <w:sz w:val="16"/>
          <w:szCs w:val="16"/>
        </w:rPr>
        <w:t>Varsel i fag</w:t>
      </w:r>
    </w:p>
    <w:p w:rsidR="00EE7D99" w:rsidP="00EE7D99">
      <w:pPr>
        <w:ind w:firstLine="709"/>
        <w:rPr>
          <w:b/>
          <w:color w:val="000080"/>
          <w:sz w:val="16"/>
          <w:szCs w:val="16"/>
        </w:rPr>
      </w:pPr>
    </w:p>
    <w:p w:rsidR="00EE7D99" w:rsidP="00EE7D99">
      <w:pPr>
        <w:rPr>
          <w:sz w:val="16"/>
          <w:szCs w:val="16"/>
        </w:rPr>
      </w:pPr>
      <w:r>
        <w:rPr>
          <w:sz w:val="16"/>
          <w:szCs w:val="16"/>
        </w:rPr>
        <w:t>Eleven og foresatte skal varsles skriftlig dersom det er tvil om eleven kan få halvårsvurdering med karakter eller standpunktkarakter i ett eller flere fag fordi det ikke er grunnlag for fastsettelse av karakter. Dette varselet skal sendes i god tid slik at eleven får anledning til å forbedre seg. Med god tid menes senest uken etter påske.</w:t>
      </w:r>
    </w:p>
    <w:p w:rsidR="00EE7D99" w:rsidP="00EE7D99">
      <w:pPr>
        <w:rPr>
          <w:sz w:val="16"/>
          <w:szCs w:val="16"/>
        </w:rPr>
      </w:pPr>
    </w:p>
    <w:p w:rsidR="00EE7D99" w:rsidP="00EE7D99">
      <w:pPr>
        <w:ind w:firstLine="709"/>
        <w:rPr>
          <w:b/>
          <w:color w:val="000080"/>
          <w:sz w:val="16"/>
          <w:szCs w:val="16"/>
        </w:rPr>
      </w:pPr>
      <w:r>
        <w:rPr>
          <w:b/>
          <w:color w:val="000080"/>
          <w:sz w:val="16"/>
          <w:szCs w:val="16"/>
        </w:rPr>
        <w:t>Varsel i orden og adferd</w:t>
      </w:r>
    </w:p>
    <w:p w:rsidR="00EE7D99" w:rsidP="00EE7D99">
      <w:pPr>
        <w:rPr>
          <w:color w:val="000080"/>
          <w:sz w:val="16"/>
          <w:szCs w:val="16"/>
        </w:rPr>
      </w:pPr>
    </w:p>
    <w:p w:rsidR="00EE7D99" w:rsidP="00EE7D99">
      <w:pPr>
        <w:rPr>
          <w:sz w:val="16"/>
          <w:szCs w:val="16"/>
        </w:rPr>
      </w:pPr>
      <w:r>
        <w:rPr>
          <w:sz w:val="16"/>
          <w:szCs w:val="16"/>
        </w:rPr>
        <w:t xml:space="preserve">Eleven og foresatte skal varsles i god tid dersom det er fare for at eleven i halvårsvurderingen eller i standpunktkarakteren kan få karakteren Nokså god eller Lite god. Med god tid menes senest uken etter påske. </w:t>
      </w:r>
    </w:p>
    <w:p w:rsidR="00EE7D99" w:rsidP="00EE7D99">
      <w:pPr>
        <w:rPr>
          <w:sz w:val="16"/>
          <w:szCs w:val="16"/>
        </w:rPr>
      </w:pPr>
    </w:p>
    <w:p w:rsidR="00EE7D99" w:rsidP="00EE7D99">
      <w:pPr>
        <w:rPr>
          <w:sz w:val="16"/>
          <w:szCs w:val="16"/>
        </w:rPr>
      </w:pPr>
      <w:r>
        <w:rPr>
          <w:sz w:val="16"/>
          <w:szCs w:val="16"/>
        </w:rPr>
        <w:t>Etter at eleven har fylt 18 år skal ikke varsel sendes til foresatte.</w:t>
      </w:r>
    </w:p>
    <w:p w:rsidR="00EE7D99" w:rsidP="00EE7D99">
      <w:pPr>
        <w:rPr>
          <w:sz w:val="16"/>
          <w:szCs w:val="16"/>
        </w:rPr>
      </w:pPr>
    </w:p>
    <w:p w:rsidR="00EE7D99" w:rsidP="00EE7D99">
      <w:pPr>
        <w:rPr>
          <w:sz w:val="16"/>
          <w:szCs w:val="16"/>
        </w:rPr>
      </w:pPr>
    </w:p>
    <w:p w:rsidR="00EE7D99" w:rsidP="00EE7D99">
      <w:pPr>
        <w:rPr>
          <w:b/>
          <w:sz w:val="16"/>
          <w:szCs w:val="16"/>
        </w:rPr>
      </w:pPr>
      <w:r>
        <w:rPr>
          <w:b/>
          <w:sz w:val="16"/>
          <w:szCs w:val="16"/>
        </w:rPr>
        <w:t>Interne referanser</w:t>
      </w:r>
    </w:p>
    <w:p w:rsidR="00EE7D99" w:rsidP="00EE7D99">
      <w:pPr>
        <w:rPr>
          <w:sz w:val="16"/>
          <w:szCs w:val="16"/>
        </w:rPr>
      </w:pPr>
    </w:p>
    <w:p w:rsidR="00EE7D99" w:rsidP="00EE7D99">
      <w:pPr>
        <w:rPr>
          <w:sz w:val="16"/>
          <w:szCs w:val="16"/>
        </w:rPr>
      </w:pPr>
    </w:p>
    <w:p w:rsidR="00EE7D99" w:rsidP="00EE7D99">
      <w:pPr>
        <w:rPr>
          <w:b/>
          <w:sz w:val="16"/>
          <w:szCs w:val="16"/>
        </w:rPr>
      </w:pPr>
      <w:r>
        <w:rPr>
          <w:b/>
          <w:sz w:val="16"/>
          <w:szCs w:val="16"/>
        </w:rPr>
        <w:t>Eksterne referanser</w:t>
      </w:r>
    </w:p>
    <w:p w:rsidR="00EE7D99" w:rsidP="00EE7D99">
      <w:pPr>
        <w:rPr>
          <w:sz w:val="16"/>
          <w:szCs w:val="16"/>
        </w:rPr>
      </w:pPr>
    </w:p>
    <w:p w:rsidR="00EE7D99" w:rsidP="00EE7D99">
      <w:pPr>
        <w:rPr>
          <w:sz w:val="16"/>
          <w:szCs w:val="16"/>
        </w:rPr>
      </w:pPr>
      <w:hyperlink r:id="rId4" w:anchor="KAPITTEL_4" w:history="1">
        <w:r>
          <w:rPr>
            <w:rStyle w:val="Hyperlink"/>
            <w:sz w:val="16"/>
            <w:szCs w:val="16"/>
          </w:rPr>
          <w:t>https://lovdata.no/dokument/SF/forskrift/2006-06-23-724/KAPITTEL_4#KAPITTEL_4</w:t>
        </w:r>
      </w:hyperlink>
    </w:p>
    <w:p w:rsidR="00EE7D99" w:rsidP="00EE7D99">
      <w:pPr>
        <w:rPr>
          <w:sz w:val="16"/>
          <w:szCs w:val="16"/>
        </w:rPr>
      </w:pPr>
    </w:p>
    <w:p w:rsidR="00EE7D99" w:rsidP="00EE7D99">
      <w:pPr>
        <w:rPr>
          <w:sz w:val="16"/>
          <w:szCs w:val="16"/>
        </w:rPr>
      </w:pPr>
    </w:p>
    <w:p w:rsidR="0032457D" w:rsidRPr="00EE7D99" w:rsidP="00EE7D99"/>
    <w:sectPr>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851" w:bottom="851" w:left="1418" w:header="284"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tblPrEx>
        <w:tblW w:w="0" w:type="auto"/>
        <w:tblLayout w:type="fixed"/>
        <w:tblCellMar>
          <w:left w:w="70" w:type="dxa"/>
          <w:right w:w="70" w:type="dxa"/>
        </w:tblCellMar>
        <w:tblLook w:val="0000"/>
      </w:tblPrEx>
      <w:tc>
        <w:tcPr>
          <w:tcW w:w="3189" w:type="dxa"/>
          <w:tcBorders>
            <w:top w:val="single" w:sz="4" w:space="0" w:color="auto"/>
          </w:tcBorders>
        </w:tcPr>
        <w:p w:rsidR="005F0EC3">
          <w:pPr>
            <w:pStyle w:val="Footer"/>
            <w:tabs>
              <w:tab w:val="left" w:pos="1134"/>
            </w:tabs>
            <w:spacing w:before="120"/>
            <w:rPr>
              <w:i/>
              <w:sz w:val="20"/>
            </w:rPr>
          </w:pPr>
          <w:r>
            <w:rPr>
              <w:i/>
              <w:sz w:val="20"/>
            </w:rPr>
            <w:t>Gyldig fra:</w:t>
          </w:r>
          <w:r>
            <w:rPr>
              <w:i/>
              <w:sz w:val="20"/>
            </w:rPr>
            <w:tab/>
          </w:r>
          <w:r>
            <w:rPr>
              <w:i/>
              <w:sz w:val="20"/>
            </w:rPr>
            <w:fldChar w:fldCharType="begin" w:fldLock="1"/>
          </w:r>
          <w:r>
            <w:rPr>
              <w:i/>
              <w:color w:val="000080"/>
              <w:sz w:val="20"/>
            </w:rPr>
            <w:instrText>DOCPROPERTY EK_GjelderFra</w:instrText>
          </w:r>
          <w:r>
            <w:rPr>
              <w:i/>
              <w:sz w:val="20"/>
            </w:rPr>
            <w:fldChar w:fldCharType="separate"/>
          </w:r>
          <w:r>
            <w:rPr>
              <w:i/>
              <w:color w:val="000080"/>
              <w:sz w:val="20"/>
            </w:rPr>
            <w:t>15.07.2025</w:t>
          </w:r>
          <w:r>
            <w:rPr>
              <w:i/>
              <w:sz w:val="20"/>
            </w:rPr>
            <w:fldChar w:fldCharType="end"/>
          </w:r>
        </w:p>
      </w:tc>
      <w:tc>
        <w:tcPr>
          <w:tcW w:w="3402" w:type="dxa"/>
          <w:tcBorders>
            <w:top w:val="single" w:sz="4" w:space="0" w:color="auto"/>
          </w:tcBorders>
        </w:tcPr>
        <w:p w:rsidR="005F0EC3">
          <w:pPr>
            <w:pStyle w:val="Footer"/>
            <w:tabs>
              <w:tab w:val="left" w:pos="1347"/>
            </w:tabs>
            <w:spacing w:before="120"/>
            <w:rPr>
              <w:i/>
              <w:sz w:val="20"/>
            </w:rPr>
          </w:pPr>
          <w:r>
            <w:rPr>
              <w:i/>
              <w:sz w:val="20"/>
            </w:rPr>
            <w:t xml:space="preserve">Versjon nr.: </w:t>
          </w:r>
          <w:r>
            <w:rPr>
              <w:i/>
              <w:sz w:val="20"/>
            </w:rPr>
            <w:tab/>
          </w:r>
          <w:r>
            <w:rPr>
              <w:i/>
              <w:sz w:val="20"/>
            </w:rPr>
            <w:fldChar w:fldCharType="begin" w:fldLock="1"/>
          </w:r>
          <w:r>
            <w:rPr>
              <w:i/>
              <w:color w:val="000080"/>
              <w:sz w:val="20"/>
            </w:rPr>
            <w:instrText>DOCPROPERTY EK_Utgave</w:instrText>
          </w:r>
          <w:r>
            <w:rPr>
              <w:i/>
              <w:sz w:val="20"/>
            </w:rPr>
            <w:fldChar w:fldCharType="separate"/>
          </w:r>
          <w:r>
            <w:rPr>
              <w:i/>
              <w:color w:val="000080"/>
              <w:sz w:val="20"/>
            </w:rPr>
            <w:t>2.02</w:t>
          </w:r>
          <w:r>
            <w:rPr>
              <w:i/>
              <w:sz w:val="20"/>
            </w:rPr>
            <w:fldChar w:fldCharType="end"/>
          </w:r>
        </w:p>
      </w:tc>
      <w:tc>
        <w:tcPr>
          <w:tcW w:w="3118" w:type="dxa"/>
          <w:tcBorders>
            <w:top w:val="single" w:sz="4" w:space="0" w:color="auto"/>
          </w:tcBorders>
        </w:tcPr>
        <w:p w:rsidR="005F0EC3">
          <w:pPr>
            <w:pStyle w:val="Footer"/>
            <w:tabs>
              <w:tab w:val="left" w:pos="948"/>
            </w:tabs>
            <w:spacing w:before="120"/>
            <w:rPr>
              <w:i/>
              <w:sz w:val="20"/>
            </w:rPr>
          </w:pPr>
          <w:r>
            <w:rPr>
              <w:i/>
              <w:sz w:val="20"/>
            </w:rPr>
            <w:t>Dok. nr.:</w:t>
          </w:r>
          <w:r>
            <w:rPr>
              <w:i/>
              <w:sz w:val="20"/>
            </w:rPr>
            <w:tab/>
          </w:r>
          <w:r>
            <w:rPr>
              <w:i/>
              <w:sz w:val="20"/>
            </w:rPr>
            <w:fldChar w:fldCharType="begin" w:fldLock="1"/>
          </w:r>
          <w:r>
            <w:rPr>
              <w:i/>
              <w:color w:val="000080"/>
              <w:sz w:val="20"/>
            </w:rPr>
            <w:instrText>DOCPROPERTY EK_RefNr</w:instrText>
          </w:r>
          <w:r>
            <w:rPr>
              <w:i/>
              <w:sz w:val="20"/>
            </w:rPr>
            <w:fldChar w:fldCharType="separate"/>
          </w:r>
          <w:r>
            <w:rPr>
              <w:i/>
              <w:color w:val="000080"/>
              <w:sz w:val="20"/>
            </w:rPr>
            <w:t>KS2017.5.1.2-22</w:t>
          </w:r>
          <w:r>
            <w:rPr>
              <w:i/>
              <w:sz w:val="20"/>
            </w:rPr>
            <w:fldChar w:fldCharType="end"/>
          </w:r>
        </w:p>
      </w:tc>
    </w:tr>
    <w:tr>
      <w:tblPrEx>
        <w:tblW w:w="0" w:type="auto"/>
        <w:tblLayout w:type="fixed"/>
        <w:tblCellMar>
          <w:left w:w="70" w:type="dxa"/>
          <w:right w:w="70" w:type="dxa"/>
        </w:tblCellMar>
        <w:tblLook w:val="0000"/>
      </w:tblPrEx>
      <w:tc>
        <w:tcPr>
          <w:tcW w:w="3189" w:type="dxa"/>
        </w:tcPr>
        <w:p w:rsidR="005F0EC3">
          <w:pPr>
            <w:pStyle w:val="Footer"/>
            <w:tabs>
              <w:tab w:val="left" w:pos="1134"/>
            </w:tabs>
            <w:rPr>
              <w:i/>
              <w:sz w:val="20"/>
            </w:rPr>
          </w:pPr>
          <w:r>
            <w:rPr>
              <w:i/>
              <w:sz w:val="20"/>
            </w:rPr>
            <w:t>Sign.:</w:t>
          </w:r>
          <w:r>
            <w:rPr>
              <w:i/>
              <w:sz w:val="20"/>
            </w:rPr>
            <w:tab/>
          </w:r>
          <w:r>
            <w:rPr>
              <w:i/>
              <w:sz w:val="20"/>
            </w:rPr>
            <w:fldChar w:fldCharType="begin" w:fldLock="1"/>
          </w:r>
          <w:r>
            <w:rPr>
              <w:i/>
              <w:color w:val="000080"/>
              <w:sz w:val="20"/>
            </w:rPr>
            <w:instrText>DOCPROPERTY EK_SkrevetAv</w:instrText>
          </w:r>
          <w:r>
            <w:rPr>
              <w:i/>
              <w:sz w:val="20"/>
            </w:rPr>
            <w:fldChar w:fldCharType="separate"/>
          </w:r>
          <w:r>
            <w:rPr>
              <w:i/>
              <w:color w:val="000080"/>
              <w:sz w:val="20"/>
            </w:rPr>
            <w:t>Hege Ommedal</w:t>
          </w:r>
          <w:r>
            <w:rPr>
              <w:i/>
              <w:sz w:val="20"/>
            </w:rPr>
            <w:fldChar w:fldCharType="end"/>
          </w:r>
        </w:p>
      </w:tc>
      <w:tc>
        <w:tcPr>
          <w:tcW w:w="3402" w:type="dxa"/>
        </w:tcPr>
        <w:p w:rsidR="005F0EC3">
          <w:pPr>
            <w:pStyle w:val="Footer"/>
            <w:tabs>
              <w:tab w:val="left" w:pos="1347"/>
            </w:tabs>
            <w:rPr>
              <w:i/>
              <w:sz w:val="20"/>
            </w:rPr>
          </w:pPr>
          <w:r>
            <w:rPr>
              <w:i/>
              <w:sz w:val="20"/>
            </w:rPr>
            <w:t>Godkjent:</w:t>
          </w:r>
          <w:r>
            <w:rPr>
              <w:i/>
              <w:sz w:val="20"/>
            </w:rPr>
            <w:tab/>
          </w:r>
          <w:r>
            <w:rPr>
              <w:i/>
              <w:sz w:val="20"/>
            </w:rPr>
            <w:fldChar w:fldCharType="begin" w:fldLock="1"/>
          </w:r>
          <w:r>
            <w:rPr>
              <w:i/>
              <w:color w:val="000080"/>
              <w:sz w:val="20"/>
            </w:rPr>
            <w:instrText>DOCPROPERTY EK_Signatur</w:instrText>
          </w:r>
          <w:r>
            <w:rPr>
              <w:i/>
              <w:sz w:val="20"/>
            </w:rPr>
            <w:fldChar w:fldCharType="separate"/>
          </w:r>
          <w:r>
            <w:rPr>
              <w:i/>
              <w:color w:val="000080"/>
              <w:sz w:val="20"/>
            </w:rPr>
            <w:t>Jan Kåre Greve</w:t>
          </w:r>
          <w:r>
            <w:rPr>
              <w:i/>
              <w:sz w:val="20"/>
            </w:rPr>
            <w:fldChar w:fldCharType="end"/>
          </w:r>
        </w:p>
      </w:tc>
      <w:tc>
        <w:tcPr>
          <w:tcW w:w="3118" w:type="dxa"/>
        </w:tcPr>
        <w:p w:rsidR="005F0EC3">
          <w:pPr>
            <w:pStyle w:val="Footer"/>
            <w:tabs>
              <w:tab w:val="left" w:pos="948"/>
            </w:tabs>
            <w:rPr>
              <w:i/>
              <w:sz w:val="20"/>
            </w:rPr>
          </w:pPr>
          <w:r>
            <w:rPr>
              <w:i/>
              <w:sz w:val="20"/>
            </w:rPr>
            <w:t xml:space="preserve">Side: </w:t>
          </w:r>
          <w:r>
            <w:rPr>
              <w:i/>
              <w:sz w:val="20"/>
            </w:rPr>
            <w:tab/>
          </w:r>
          <w:r>
            <w:rPr>
              <w:i/>
              <w:sz w:val="20"/>
            </w:rPr>
            <w:fldChar w:fldCharType="begin"/>
          </w:r>
          <w:r>
            <w:rPr>
              <w:i/>
              <w:sz w:val="20"/>
            </w:rPr>
            <w:instrText xml:space="preserve"> PAGE  \* MERGEFORMAT </w:instrText>
          </w:r>
          <w:r>
            <w:rPr>
              <w:i/>
              <w:sz w:val="20"/>
            </w:rPr>
            <w:fldChar w:fldCharType="separate"/>
          </w:r>
          <w:r w:rsidR="00235B23">
            <w:rPr>
              <w:rFonts w:ascii="Verdana" w:hAnsi="Verdana"/>
              <w:i/>
              <w:noProof/>
              <w:sz w:val="20"/>
              <w:lang w:val="nb-NO" w:eastAsia="nb-NO" w:bidi="ar-SA"/>
            </w:rPr>
            <w:t>2</w:t>
          </w:r>
          <w:r>
            <w:rPr>
              <w:i/>
              <w:sz w:val="20"/>
            </w:rPr>
            <w:fldChar w:fldCharType="end"/>
          </w:r>
          <w:r>
            <w:rPr>
              <w:i/>
              <w:sz w:val="20"/>
            </w:rPr>
            <w:t xml:space="preserve"> av </w:t>
          </w:r>
          <w:r>
            <w:rPr>
              <w:i/>
              <w:sz w:val="20"/>
            </w:rPr>
            <w:fldChar w:fldCharType="begin"/>
          </w:r>
          <w:r>
            <w:rPr>
              <w:i/>
              <w:sz w:val="20"/>
            </w:rPr>
            <w:instrText xml:space="preserve"> NUMPAGES  \* MERGEFORMAT </w:instrText>
          </w:r>
          <w:r>
            <w:rPr>
              <w:i/>
              <w:sz w:val="20"/>
            </w:rPr>
            <w:fldChar w:fldCharType="separate"/>
          </w:r>
          <w:r w:rsidR="00235B23">
            <w:rPr>
              <w:rFonts w:ascii="Verdana" w:hAnsi="Verdana"/>
              <w:i/>
              <w:noProof/>
              <w:sz w:val="20"/>
              <w:lang w:val="nb-NO" w:eastAsia="nb-NO" w:bidi="ar-SA"/>
            </w:rPr>
            <w:t>2</w:t>
          </w:r>
          <w:r>
            <w:rPr>
              <w:i/>
              <w:sz w:val="20"/>
            </w:rPr>
            <w:fldChar w:fldCharType="end"/>
          </w:r>
        </w:p>
      </w:tc>
    </w:tr>
  </w:tbl>
  <w:p w:rsidR="005F0EC3">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B2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066413" w:rsidRPr="0051404E" w:rsidP="008348DF">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066413" w:rsidRPr="00CC5637" w:rsidP="00CF0DEE">
          <w:pPr>
            <w:pStyle w:val="Header"/>
            <w:spacing w:before="240" w:after="60"/>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066413"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5 PERFORMANCE</w:t>
          </w:r>
          <w:r w:rsidRPr="0051404E">
            <w:rPr>
              <w:b/>
            </w:rPr>
            <w:fldChar w:fldCharType="end"/>
          </w:r>
        </w:p>
      </w:tc>
      <w:tc>
        <w:tcPr>
          <w:tcW w:w="851" w:type="dxa"/>
        </w:tcPr>
        <w:p w:rsidR="00066413" w:rsidP="008348DF">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5F0EC3" w:rsidP="00066413">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EC3">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E603D4"/>
    <w:multiLevelType w:val="multilevel"/>
    <w:tmpl w:val="CFB29A5E"/>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27C867CA"/>
    <w:multiLevelType w:val="multilevel"/>
    <w:tmpl w:val="80DA94C6"/>
    <w:lvl w:ilvl="0">
      <w:start w:val="1"/>
      <w:numFmt w:val="decimal"/>
      <w:pStyle w:val="Heading3"/>
      <w:lvlText w:val="%1."/>
      <w:lvlJc w:val="left"/>
      <w:pPr>
        <w:tabs>
          <w:tab w:val="num" w:pos="337"/>
        </w:tabs>
        <w:ind w:left="337" w:hanging="360"/>
      </w:pPr>
      <w:rPr>
        <w:rFonts w:hint="default"/>
      </w:rPr>
    </w:lvl>
    <w:lvl w:ilvl="1">
      <w:start w:val="1"/>
      <w:numFmt w:val="decimal"/>
      <w:lvlText w:val="%2."/>
      <w:lvlJc w:val="left"/>
      <w:pPr>
        <w:tabs>
          <w:tab w:val="num" w:pos="317"/>
        </w:tabs>
        <w:ind w:left="317" w:hanging="360"/>
      </w:pPr>
      <w:rPr>
        <w:rFonts w:hint="default"/>
      </w:rPr>
    </w:lvl>
    <w:lvl w:ilvl="2">
      <w:start w:val="1"/>
      <w:numFmt w:val="decimal"/>
      <w:lvlText w:val="%1.%2.%3"/>
      <w:lvlJc w:val="left"/>
      <w:pPr>
        <w:tabs>
          <w:tab w:val="num" w:pos="697"/>
        </w:tabs>
        <w:ind w:left="697" w:hanging="720"/>
      </w:pPr>
      <w:rPr>
        <w:rFonts w:hint="default"/>
      </w:rPr>
    </w:lvl>
    <w:lvl w:ilvl="3">
      <w:start w:val="1"/>
      <w:numFmt w:val="decimal"/>
      <w:lvlText w:val="%1.%2.%3.%4"/>
      <w:lvlJc w:val="left"/>
      <w:pPr>
        <w:tabs>
          <w:tab w:val="num" w:pos="841"/>
        </w:tabs>
        <w:ind w:left="841" w:hanging="864"/>
      </w:pPr>
      <w:rPr>
        <w:rFonts w:hint="default"/>
      </w:rPr>
    </w:lvl>
    <w:lvl w:ilvl="4">
      <w:start w:val="1"/>
      <w:numFmt w:val="decimal"/>
      <w:lvlText w:val="%1.%2.%3.%4.%5"/>
      <w:lvlJc w:val="left"/>
      <w:pPr>
        <w:tabs>
          <w:tab w:val="num" w:pos="985"/>
        </w:tabs>
        <w:ind w:left="985" w:hanging="1008"/>
      </w:pPr>
      <w:rPr>
        <w:rFonts w:hint="default"/>
      </w:rPr>
    </w:lvl>
    <w:lvl w:ilvl="5">
      <w:start w:val="1"/>
      <w:numFmt w:val="decimal"/>
      <w:lvlText w:val="%1.%2.%3.%4.%5.%6"/>
      <w:lvlJc w:val="left"/>
      <w:pPr>
        <w:tabs>
          <w:tab w:val="num" w:pos="1129"/>
        </w:tabs>
        <w:ind w:left="1129" w:hanging="1152"/>
      </w:pPr>
      <w:rPr>
        <w:rFonts w:hint="default"/>
      </w:rPr>
    </w:lvl>
    <w:lvl w:ilvl="6">
      <w:start w:val="1"/>
      <w:numFmt w:val="decimal"/>
      <w:lvlText w:val="%1.%2.%3.%4.%5.%6.%7"/>
      <w:lvlJc w:val="left"/>
      <w:pPr>
        <w:tabs>
          <w:tab w:val="num" w:pos="1273"/>
        </w:tabs>
        <w:ind w:left="1273" w:hanging="1296"/>
      </w:pPr>
      <w:rPr>
        <w:rFonts w:hint="default"/>
      </w:rPr>
    </w:lvl>
    <w:lvl w:ilvl="7">
      <w:start w:val="1"/>
      <w:numFmt w:val="decimal"/>
      <w:lvlText w:val="%1.%2.%3.%4.%5.%6.%7.%8"/>
      <w:lvlJc w:val="left"/>
      <w:pPr>
        <w:tabs>
          <w:tab w:val="num" w:pos="1417"/>
        </w:tabs>
        <w:ind w:left="1417" w:hanging="1440"/>
      </w:pPr>
      <w:rPr>
        <w:rFonts w:hint="default"/>
      </w:rPr>
    </w:lvl>
    <w:lvl w:ilvl="8">
      <w:start w:val="1"/>
      <w:numFmt w:val="decimal"/>
      <w:lvlText w:val="%1.%2.%3.%4.%5.%6.%7.%8.%9"/>
      <w:lvlJc w:val="left"/>
      <w:pPr>
        <w:tabs>
          <w:tab w:val="num" w:pos="1561"/>
        </w:tabs>
        <w:ind w:left="1561" w:hanging="1584"/>
      </w:pPr>
      <w:rPr>
        <w:rFonts w:hint="default"/>
      </w:rPr>
    </w:lvl>
  </w:abstractNum>
  <w:abstractNum w:abstractNumId="2">
    <w:nsid w:val="2E856B90"/>
    <w:multiLevelType w:val="multilevel"/>
    <w:tmpl w:val="079059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C2455CE"/>
    <w:multiLevelType w:val="hybridMultilevel"/>
    <w:tmpl w:val="240C2E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0"/>
  </w:num>
  <w:num w:numId="4">
    <w:abstractNumId w:val="0"/>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0"/>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448"/>
    <w:rsid w:val="00013E49"/>
    <w:rsid w:val="00041EDE"/>
    <w:rsid w:val="000449FE"/>
    <w:rsid w:val="00044FB1"/>
    <w:rsid w:val="00057864"/>
    <w:rsid w:val="00066413"/>
    <w:rsid w:val="00083E94"/>
    <w:rsid w:val="001172F3"/>
    <w:rsid w:val="00123502"/>
    <w:rsid w:val="00142628"/>
    <w:rsid w:val="0018500B"/>
    <w:rsid w:val="00235B23"/>
    <w:rsid w:val="002705DA"/>
    <w:rsid w:val="0028757E"/>
    <w:rsid w:val="0029326A"/>
    <w:rsid w:val="002D3701"/>
    <w:rsid w:val="002E1FB1"/>
    <w:rsid w:val="002E2448"/>
    <w:rsid w:val="0032457D"/>
    <w:rsid w:val="00365B09"/>
    <w:rsid w:val="003B34BC"/>
    <w:rsid w:val="003B6F89"/>
    <w:rsid w:val="003D310A"/>
    <w:rsid w:val="003E12CB"/>
    <w:rsid w:val="003E725C"/>
    <w:rsid w:val="00435C24"/>
    <w:rsid w:val="00457002"/>
    <w:rsid w:val="0046491A"/>
    <w:rsid w:val="004871CF"/>
    <w:rsid w:val="0049765E"/>
    <w:rsid w:val="004E5820"/>
    <w:rsid w:val="0051404E"/>
    <w:rsid w:val="0053405D"/>
    <w:rsid w:val="00540AB3"/>
    <w:rsid w:val="005C436A"/>
    <w:rsid w:val="005F0EC3"/>
    <w:rsid w:val="00605DE2"/>
    <w:rsid w:val="006E271F"/>
    <w:rsid w:val="006F52C1"/>
    <w:rsid w:val="00747718"/>
    <w:rsid w:val="007813DF"/>
    <w:rsid w:val="00792EA2"/>
    <w:rsid w:val="00815DA3"/>
    <w:rsid w:val="0081622C"/>
    <w:rsid w:val="00825F50"/>
    <w:rsid w:val="008348DF"/>
    <w:rsid w:val="00894667"/>
    <w:rsid w:val="008C0389"/>
    <w:rsid w:val="00915BD8"/>
    <w:rsid w:val="0094262B"/>
    <w:rsid w:val="00976DD4"/>
    <w:rsid w:val="009772E8"/>
    <w:rsid w:val="00987F0C"/>
    <w:rsid w:val="00992DE8"/>
    <w:rsid w:val="009B675E"/>
    <w:rsid w:val="009F76D8"/>
    <w:rsid w:val="00A35751"/>
    <w:rsid w:val="00A84AB2"/>
    <w:rsid w:val="00A9599E"/>
    <w:rsid w:val="00A969A0"/>
    <w:rsid w:val="00AB0858"/>
    <w:rsid w:val="00AB445B"/>
    <w:rsid w:val="00B1359E"/>
    <w:rsid w:val="00B915CC"/>
    <w:rsid w:val="00BC4A9B"/>
    <w:rsid w:val="00C3739E"/>
    <w:rsid w:val="00CA6A0D"/>
    <w:rsid w:val="00CB40D8"/>
    <w:rsid w:val="00CC5637"/>
    <w:rsid w:val="00CE0FE6"/>
    <w:rsid w:val="00CE5009"/>
    <w:rsid w:val="00CF0DEE"/>
    <w:rsid w:val="00CF3166"/>
    <w:rsid w:val="00D026F2"/>
    <w:rsid w:val="00D1702A"/>
    <w:rsid w:val="00D40177"/>
    <w:rsid w:val="00D72ECC"/>
    <w:rsid w:val="00D84BF3"/>
    <w:rsid w:val="00D86848"/>
    <w:rsid w:val="00DF1517"/>
    <w:rsid w:val="00ED1AC8"/>
    <w:rsid w:val="00ED4617"/>
    <w:rsid w:val="00EE7D99"/>
    <w:rsid w:val="00F341EC"/>
    <w:rsid w:val="00F7137D"/>
    <w:rsid w:val="00F7211F"/>
    <w:rsid w:val="00F91CD9"/>
    <w:rsid w:val="00FD2B48"/>
    <w:rsid w:val="00FF4047"/>
    <w:rsid w:val="00FF7373"/>
    <w:rsid w:val="00FF7CD5"/>
  </w:rsids>
  <w:docVars>
    <w:docVar w:name="Avdeling" w:val="lab_avdeling"/>
    <w:docVar w:name="Avsnitt" w:val="lab_avsnitt"/>
    <w:docVar w:name="Bedriftsnavn" w:val="Bergen maritime videregående skole"/>
    <w:docVar w:name="beskyttet" w:val="nei"/>
    <w:docVar w:name="docver" w:val="2.20"/>
    <w:docVar w:name="dokrefnr" w:val="01.02.01.05.04|KS-OD.A.e.4|"/>
    <w:docVar w:name="DokTittel" w:val="Skjema for prosedyreutarbeidelse"/>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 1_x0009_DNV-RCMA. Del 1.A 200 _x0009_Anvendelse [side 1]_x0009_00067_x0009_i:\felles\kvalitet\klasse~1\matris~1.doc_x0001_"/>
    <w:docVar w:name="ek_ansvarlig" w:val="Eirik Ørn"/>
    <w:docVar w:name="ek_bedriftsnavn" w:val="Laksevåg og Bergen Maritime Vgs"/>
    <w:docVar w:name="ek_dbfields" w:val="EK_Avdeling¤2#4¤2# ¤3#EK_Avsnitt¤2#4¤2# ¤3#EK_Bedriftsnavn¤2#1¤2#Laksevåg og Bergen Maritime Vgs¤3#EK_GjelderFra¤2#0¤2#22.01.2020¤3#EK_Opprettet¤2#0¤2#20.10.2011¤3#EK_Utgitt¤2#0¤2#18.08.2011¤3#EK_IBrukDato¤2#0¤2#22.01.2020¤3#EK_DokumentID¤2#0¤2#D00553¤3#EK_DokTittel¤2#0¤2#Prosedyre for elevenes studieprogresjon, underveisvurdering og sluttvurdering¤3#EK_DokType¤2#0¤2#Prosedyre¤3#EK_EksRef¤2#2¤2# 0_x0009_¤3#EK_Erstatter¤2#0¤2#2.00¤3#EK_ErstatterD¤2#0¤2#06.03.2018¤3#EK_Signatur¤2#0¤2#Jan Kåre Greve¤3#EK_Verifisert¤2#0¤2# ¤3#EK_Hørt¤2#0¤2# ¤3#EK_AuditReview¤2#2¤2# ¤3#EK_AuditApprove¤2#2¤2# ¤3#EK_Gradering¤2#0¤2#Åpen¤3#EK_Gradnr¤2#4¤2#0¤3#EK_Kapittel¤2#4¤2# ¤3#EK_Referanse¤2#2¤2# 0_x0009_¤3#EK_RefNr¤2#0¤2#-KS-4.2.2-01¤3#EK_Revisjon¤2#0¤2#2.01¤3#EK_Ansvarlig¤2#0¤2#Eirik Ørn¤3#EK_SkrevetAv¤2#0¤2#Hege Ommedal¤3#EK_UText1¤2#0¤2# ¤3#EK_UText2¤2#0¤2# ¤3#EK_UText3¤2#0¤2# ¤3#EK_UText4¤2#0¤2# ¤3#EK_Status¤2#0¤2#I bruk¤3#EK_Stikkord¤2#0¤2#¤3#EK_SuperStikkord¤2#0¤2#¤3#EK_Rapport¤2#3¤2#¤3#EK_EKPrintMerke¤2#0¤2#Uoffisiell utskrift er kun gyldig på utskriftsdato¤3#EK_Watermark¤2#0¤2#¤3#EK_Utgave¤2#0¤2#2.01¤3#EK_Merknad¤2#7¤2#Forlenget gyldighet til 22.01.2021¤3#EK_VerLogg¤2#2¤2# ¤3#EK_RF1¤2#4¤2# ¤3#EK_RF2¤2#4¤2# ¤3#EK_RF3¤2#4¤2# ¤3#EK_RF4¤2#4¤2# ¤3#EK_RF5¤2#4¤2# ¤3#EK_RF6¤2#4¤2# ¤3#EK_RF7¤2#4¤2# ¤3#EK_RF8¤2#4¤2# ¤3#EK_RF9¤2#4¤2# ¤3#EK_Mappe1¤2#4¤2# ¤3#EK_Mappe2¤2#4¤2# ¤3#EK_Mappe3¤2#4¤2# ¤3#EK_Mappe4¤2#4¤2# ¤3#EK_Mappe5¤2#4¤2# ¤3#EK_Mappe6¤2#4¤2# ¤3#EK_Mappe7¤2#4¤2# ¤3#EK_Mappe8¤2#4¤2# ¤3#EK_Mappe9¤2#4¤2# ¤3#EK_DL¤2#0¤2#1¤3#EK_GjelderTil¤2#0¤2#22.01.2021¤3#EK_Vedlegg¤2#2¤2# 0_x0009_¤3#EK_AvdelingOver¤2#4¤2# ¤3#EK_HRefNr¤2#0¤2# ¤3#EK_HbNavn¤2#0¤2# ¤3#EK_DokRefnr¤2#4¤2#0001040202¤3#EK_Dokendrdato¤2#4¤2#18.06.2020 10:24:03¤3#EK_HbType¤2#4¤2# ¤3#EK_Offisiell¤2#4¤2# ¤3#EK_VedleggRef¤2#4¤2#-KS-4.2.2-01¤3#EK_Strukt00¤2#5¤2#-¤5#KS¤5#KVALITETSSYSTEM¤5#1¤5#0¤4#-¤5#4¤5#DRIFTSFASEN¤5#0¤5#0¤4#.¤5#2¤5#Undervisning/Operation¤5#0¤5#0¤4#.¤5#2¤5#Studieprogresjon¤5#0¤5#0¤4#\¤3#EK_Strukt01¤2#5¤2#¤3#EK_Pub¤2#6¤2#;18;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4¤5#DRIFTSFASEN¤5#0¤5#0¤4#.¤5#2¤5#Undervisning/Operation¤5#0¤5#0¤4#.¤5#2¤5#Studieprogresjon¤5#0¤5#0¤4#\¤3#"/>
    <w:docVar w:name="ek_dl" w:val="1"/>
    <w:docVar w:name="ek_erstatter" w:val="2.00"/>
    <w:docVar w:name="ek_erstatterd" w:val="06.03.2018"/>
    <w:docVar w:name="ek_format" w:val="-10"/>
    <w:docVar w:name="ek_gjelderfra" w:val="22.01.2020"/>
    <w:docVar w:name="ek_gjeldertil" w:val="22.01.2021"/>
    <w:docVar w:name="ek_hbnavn" w:val=" "/>
    <w:docVar w:name="ek_hrefnr" w:val=" "/>
    <w:docVar w:name="ek_hørt" w:val=" "/>
    <w:docVar w:name="ek_ibrukdato" w:val="22.01.2020"/>
    <w:docVar w:name="ek_merknad" w:val="Forlenget gyldighet til 22.01.2021"/>
    <w:docVar w:name="ek_refnr" w:val="-KS-4.2.2-01"/>
    <w:docVar w:name="ek_revisjon" w:val="2.01"/>
    <w:docVar w:name="ek_signatur" w:val="Jan Kåre Greve"/>
    <w:docVar w:name="ek_skrevetav" w:val="Hege Ommedal"/>
    <w:docVar w:name="ek_status" w:val="I bruk"/>
    <w:docVar w:name="EK_TYPE" w:val="DOK"/>
    <w:docVar w:name="ek_utext1" w:val=" "/>
    <w:docVar w:name="ek_utext2" w:val=" "/>
    <w:docVar w:name="ek_utext3" w:val=" "/>
    <w:docVar w:name="ek_utext4" w:val=" "/>
    <w:docVar w:name="ek_utgave" w:val="2.01"/>
    <w:docVar w:name="ek_verifisert" w:val=" "/>
    <w:docVar w:name="Erstatter" w:val="lab_erstatter"/>
    <w:docVar w:name="GjelderFra" w:val="11.03.03"/>
    <w:docVar w:name="ideksref" w:val=";00067;"/>
    <w:docVar w:name="idreferanse" w:val=";00086;"/>
    <w:docVar w:name="KHB" w:val="UB"/>
    <w:docVar w:name="Referanse" w:val=" 1_x0009_KS-OD.A.c.18_x0009_Prosedyre for prosedyreutarbeidelse_x0009_dok00086_x0001_"/>
    <w:docVar w:name="RefNr" w:val="KS-OD.A.e.2"/>
    <w:docVar w:name="Signatur" w:val="Bjørn Kr. Jæger"/>
    <w:docVar w:name="skitten" w:val="0"/>
    <w:docVar w:name="SkrevetAv" w:val="Bjørn Garnes"/>
    <w:docVar w:name="tidek_eksref" w:val=";00290;00266;"/>
    <w:docVar w:name="Tittel" w:val="Dette er en Test tittel."/>
    <w:docVar w:name="Utgave" w:val="3.00"/>
    <w:docVar w:name="Vedlegg" w:val=" 0_x0009_"/>
    <w:docVar w:name="XD00086" w:val="[KS-OD.A.c.18]"/>
    <w:docVar w:name="XDL00086" w:val="[KS-OD.A.c.18 - Prosedyre for prosedyreutarbeidelse]"/>
    <w:docVar w:name="XR00005" w:val="[]"/>
    <w:docVar w:name="XR00026" w:val="[]"/>
    <w:docVar w:name="XR00067" w:val="[DNV-RCMA. Del 1.A 200 ]"/>
    <w:docVar w:name="XRL00005" w:val="[]"/>
    <w:docVar w:name="XRL00026" w:val="[]"/>
    <w:docVar w:name="XRL00067" w:val="[DNV-RCMA. Del 1.A 200  Anvendelse [side 1]]"/>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docId w15:val="{0DF59499-508D-47E4-8F6D-DE95688F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2"/>
    </w:rPr>
  </w:style>
  <w:style w:type="paragraph" w:styleId="Heading1">
    <w:name w:val="heading 1"/>
    <w:basedOn w:val="Normal"/>
    <w:next w:val="Normal"/>
    <w:qFormat/>
    <w:pPr>
      <w:numPr>
        <w:numId w:val="3"/>
      </w:numPr>
      <w:spacing w:before="60"/>
      <w:outlineLvl w:val="0"/>
    </w:pPr>
    <w:rPr>
      <w:b/>
    </w:rPr>
  </w:style>
  <w:style w:type="paragraph" w:styleId="Heading2">
    <w:name w:val="heading 2"/>
    <w:basedOn w:val="Normal"/>
    <w:next w:val="Normal"/>
    <w:qFormat/>
    <w:pPr>
      <w:numPr>
        <w:ilvl w:val="1"/>
        <w:numId w:val="4"/>
      </w:numPr>
      <w:spacing w:before="120" w:after="60"/>
      <w:outlineLvl w:val="1"/>
    </w:pPr>
    <w:rPr>
      <w:rFonts w:ascii="Arial" w:hAnsi="Arial"/>
      <w:b/>
    </w:rPr>
  </w:style>
  <w:style w:type="paragraph" w:styleId="Heading3">
    <w:name w:val="heading 3"/>
    <w:basedOn w:val="Normal"/>
    <w:next w:val="Normal"/>
    <w:qFormat/>
    <w:pPr>
      <w:numPr>
        <w:numId w:val="5"/>
      </w:numPr>
      <w:outlineLvl w:val="2"/>
    </w:pPr>
    <w:rPr>
      <w:b/>
    </w:rPr>
  </w:style>
  <w:style w:type="paragraph" w:styleId="Heading4">
    <w:name w:val="heading 4"/>
    <w:basedOn w:val="Heading3"/>
    <w:next w:val="Normal"/>
    <w:qFormat/>
    <w:pPr>
      <w:outlineLvl w:val="3"/>
    </w:pPr>
    <w:rPr>
      <w:b w:val="0"/>
      <w:u w:val="single"/>
    </w:rPr>
  </w:style>
  <w:style w:type="paragraph" w:styleId="Heading5">
    <w:name w:val="heading 5"/>
    <w:basedOn w:val="Normal"/>
    <w:next w:val="Normal"/>
    <w:qFormat/>
    <w:pPr>
      <w:keepNext/>
      <w:ind w:firstLine="355"/>
      <w:outlineLvl w:val="4"/>
    </w:pPr>
    <w:rPr>
      <w:b/>
      <w:bCs/>
    </w:rPr>
  </w:style>
  <w:style w:type="paragraph" w:styleId="Heading6">
    <w:name w:val="heading 6"/>
    <w:basedOn w:val="Normal"/>
    <w:next w:val="Normal"/>
    <w:qFormat/>
    <w:pPr>
      <w:outlineLvl w:val="5"/>
    </w:pPr>
  </w:style>
  <w:style w:type="paragraph" w:styleId="Heading7">
    <w:name w:val="heading 7"/>
    <w:basedOn w:val="Normal"/>
    <w:next w:val="Normal"/>
    <w:qFormat/>
    <w:pPr>
      <w:keepNext/>
      <w:ind w:firstLine="214"/>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styleId="BodyTextIndent">
    <w:name w:val="Body Text Indent"/>
    <w:basedOn w:val="Normal"/>
    <w:pPr>
      <w:tabs>
        <w:tab w:val="left" w:pos="2552"/>
        <w:tab w:val="left" w:pos="5103"/>
        <w:tab w:val="left" w:pos="5954"/>
      </w:tabs>
      <w:ind w:left="5954" w:hanging="5954"/>
    </w:pPr>
  </w:style>
  <w:style w:type="paragraph" w:styleId="BodyTextIndent2">
    <w:name w:val="Body Text Indent 2"/>
    <w:basedOn w:val="Normal"/>
    <w:pPr>
      <w:tabs>
        <w:tab w:val="left" w:pos="2552"/>
        <w:tab w:val="left" w:pos="5103"/>
      </w:tabs>
      <w:ind w:left="5103" w:hanging="5103"/>
    </w:pPr>
  </w:style>
  <w:style w:type="paragraph" w:styleId="BodyText">
    <w:name w:val="Body Text"/>
    <w:basedOn w:val="Normal"/>
    <w:pPr>
      <w:spacing w:after="60"/>
      <w:jc w:val="both"/>
    </w:pPr>
    <w:rPr>
      <w:sz w:val="20"/>
    </w:rPr>
  </w:style>
  <w:style w:type="character" w:styleId="Hyperlink">
    <w:name w:val="Hyperlink"/>
    <w:rPr>
      <w:color w:val="0000FF"/>
      <w:u w:val="single"/>
    </w:rPr>
  </w:style>
  <w:style w:type="paragraph" w:customStyle="1" w:styleId="Normal2">
    <w:name w:val="Normal+2"/>
    <w:basedOn w:val="Normal"/>
    <w:rPr>
      <w:sz w:val="4"/>
    </w:rPr>
  </w:style>
  <w:style w:type="paragraph" w:styleId="BalloonText">
    <w:name w:val="Balloon Text"/>
    <w:basedOn w:val="Normal"/>
    <w:link w:val="BobletekstTegn"/>
    <w:rsid w:val="009F76D8"/>
    <w:rPr>
      <w:rFonts w:ascii="Tahoma" w:hAnsi="Tahoma" w:cs="Tahoma"/>
      <w:sz w:val="16"/>
      <w:szCs w:val="16"/>
    </w:rPr>
  </w:style>
  <w:style w:type="character" w:customStyle="1" w:styleId="BobletekstTegn">
    <w:name w:val="Bobletekst Tegn"/>
    <w:basedOn w:val="DefaultParagraphFont"/>
    <w:link w:val="BalloonText"/>
    <w:rsid w:val="009F76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vdata.no/dokument/SF/forskrift/2006-06-23-724/KAPITTEL_4"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2</Pages>
  <Words>899</Words>
  <Characters>5284</Characters>
  <Application>Microsoft Office Word</Application>
  <DocSecurity>0</DocSecurity>
  <Lines>136</Lines>
  <Paragraphs>50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Prosedyre for elevenes studieprogresjon, underveisvurdering og sluttvurdering</vt:lpstr>
      <vt:lpstr>Skjema for prosedyreutarbeidelse</vt:lpstr>
    </vt:vector>
  </TitlesOfParts>
  <Company>Datakvalitet</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Prosedyre for elevenes studieprogresjon, underveisvurdering og sluttvurdering</dc:title>
  <dc:subject>0001040202|-KS-4.2.2-01|</dc:subject>
  <dc:creator>Handbok</dc:creator>
  <cp:lastModifiedBy>Eirik Ørn</cp:lastModifiedBy>
  <cp:revision>2</cp:revision>
  <cp:lastPrinted>2011-10-20T08:28:00Z</cp:lastPrinted>
  <dcterms:created xsi:type="dcterms:W3CDTF">2020-07-20T09:46:00Z</dcterms:created>
  <dcterms:modified xsi:type="dcterms:W3CDTF">2020-07-20T09:46:00Z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Prosedyre for elevenes studieprogresjon, underveisvurdering og sluttvurdering</vt:lpwstr>
  </property>
  <property fmtid="{D5CDD505-2E9C-101B-9397-08002B2CF9AE}" pid="3" name="EK_GjelderFra">
    <vt:lpwstr>15.07.2025</vt:lpwstr>
  </property>
  <property fmtid="{D5CDD505-2E9C-101B-9397-08002B2CF9AE}" pid="4" name="EK_RefNr">
    <vt:lpwstr>KS2017.5.1.2-22</vt:lpwstr>
  </property>
  <property fmtid="{D5CDD505-2E9C-101B-9397-08002B2CF9AE}" pid="5" name="EK_S00M0101">
    <vt:lpwstr>KVALITETSSYSTEM</vt:lpwstr>
  </property>
  <property fmtid="{D5CDD505-2E9C-101B-9397-08002B2CF9AE}" pid="6" name="EK_S00M0201">
    <vt:lpwstr>SECTION 5 PERFORMANCE</vt:lpwstr>
  </property>
  <property fmtid="{D5CDD505-2E9C-101B-9397-08002B2CF9AE}" pid="7" name="EK_Signatur">
    <vt:lpwstr>Jan Kåre Greve</vt:lpwstr>
  </property>
  <property fmtid="{D5CDD505-2E9C-101B-9397-08002B2CF9AE}" pid="8" name="EK_SkrevetAv">
    <vt:lpwstr>Hege Ommedal</vt:lpwstr>
  </property>
  <property fmtid="{D5CDD505-2E9C-101B-9397-08002B2CF9AE}" pid="9" name="EK_Utgave">
    <vt:lpwstr>2.02</vt:lpwstr>
  </property>
  <property fmtid="{D5CDD505-2E9C-101B-9397-08002B2CF9AE}" pid="10" name="XRF00266">
    <vt:lpwstr>http://www.lovdata.no/for/sf/kd/td-20060623-0724-011.html</vt:lpwstr>
  </property>
  <property fmtid="{D5CDD505-2E9C-101B-9397-08002B2CF9AE}" pid="11" name="XRF00290">
    <vt:lpwstr>http://www.lovdata.no/all/hl-19980717-061.html#map0</vt:lpwstr>
  </property>
</Properties>
</file>