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B81BA6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B81BA64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Internkontrollforskriften - Etterlevelse og vurderinger - KS2017.2.1.1-03</w:t>
            </w:r>
            <w:r>
              <w:fldChar w:fldCharType="end"/>
            </w:r>
          </w:p>
        </w:tc>
      </w:tr>
    </w:tbl>
    <w:p w:rsidR="0052577D" w14:paraId="4B81BA66" w14:textId="77777777"/>
    <w:p w:rsidR="00EC4847" w14:paraId="4B81BA67" w14:textId="77777777"/>
    <w:p w:rsidR="00EC4847" w14:paraId="4B81BA68" w14:textId="77777777">
      <w:r>
        <w:t>Utdrag av særskilte bestemmelser i Internkontrollforskriften. Disse er relevante for skolen, og må etterfølges.</w:t>
      </w:r>
      <w:r w:rsidR="00660063">
        <w:t xml:space="preserve"> Etter utdraget gjennomgås de pålagte kontrollpunkter iht. Internkontrollforskriften (krav om skriftlig dokumentasjon)</w:t>
      </w:r>
    </w:p>
    <w:p w:rsidR="00660063" w14:paraId="4B81BA69" w14:textId="77777777"/>
    <w:p w:rsidR="00660063" w14:paraId="4B81BA6A" w14:textId="77777777"/>
    <w:p w:rsidR="0052577D" w14:paraId="4B81BA6B" w14:textId="77777777"/>
    <w:p w:rsidR="00EC4847" w:rsidRPr="00EC4847" w:rsidP="00EC4847" w14:paraId="4B81BA6C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1.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Formål</w:t>
      </w:r>
    </w:p>
    <w:p w:rsidR="00EC4847" w:rsidRPr="00EC4847" w:rsidP="00EC4847" w14:paraId="4B81BA6D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Gjennom krav om systematisk gjennomføring av tiltak, skal denne forskrift fremme et forbedringsarbeid i virksomhetene innen:</w:t>
      </w: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0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6E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6F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arbeidsmiljø</w:t>
            </w:r>
          </w:p>
        </w:tc>
      </w:tr>
    </w:tbl>
    <w:p w:rsidR="00EC4847" w:rsidRPr="00EC4847" w:rsidP="00EC4847" w14:paraId="4B81BA71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4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2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3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sikkerhet</w:t>
            </w:r>
          </w:p>
        </w:tc>
      </w:tr>
    </w:tbl>
    <w:p w:rsidR="00EC4847" w:rsidRPr="00EC4847" w:rsidP="00EC4847" w14:paraId="4B81BA75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8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6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7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forebygging av helseskade eller miljøforstyrrelser fra produkter eller forbrukertjenester</w:t>
            </w:r>
          </w:p>
        </w:tc>
      </w:tr>
    </w:tbl>
    <w:p w:rsidR="00EC4847" w:rsidRPr="00EC4847" w:rsidP="00EC4847" w14:paraId="4B81BA79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7C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A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B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vern av det ytre miljø mot forurensning og en bedre behandling av avfall</w:t>
            </w:r>
          </w:p>
        </w:tc>
      </w:tr>
    </w:tbl>
    <w:p w:rsidR="00EC4847" w:rsidRPr="00EC4847" w:rsidP="00EC4847" w14:paraId="4B81BA7D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80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E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7F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 xml:space="preserve">forebygging av uhell og ulykker forbundet med </w:t>
            </w: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egen lovlig aktivitet</w:t>
            </w:r>
          </w:p>
        </w:tc>
      </w:tr>
    </w:tbl>
    <w:p w:rsidR="00EC4847" w:rsidRPr="00EC4847" w:rsidP="00EC4847" w14:paraId="4B81BA81" w14:textId="77777777">
      <w:pPr>
        <w:rPr>
          <w:vanish/>
          <w:highlight w:val="cyan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2750"/>
      </w:tblGrid>
      <w:tr w14:paraId="4B81BA84" w14:textId="77777777" w:rsidTr="00EC4847">
        <w:tblPrEx>
          <w:tblW w:w="134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82" w14:textId="77777777">
            <w:pPr>
              <w:jc w:val="right"/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C4847" w:rsidRPr="00EC4847" w14:paraId="4B81BA83" w14:textId="77777777">
            <w:pPr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</w:pPr>
            <w:r w:rsidRPr="00EC4847">
              <w:rPr>
                <w:rFonts w:ascii="Helvetica" w:hAnsi="Helvetica" w:cs="Helvetica"/>
                <w:color w:val="333333"/>
                <w:sz w:val="23"/>
                <w:szCs w:val="23"/>
                <w:highlight w:val="cyan"/>
              </w:rPr>
              <w:t>forebygging av uønskede tilsiktede hendelser</w:t>
            </w:r>
          </w:p>
        </w:tc>
      </w:tr>
    </w:tbl>
    <w:p w:rsidR="00EC4847" w:rsidP="00EC4847" w14:paraId="4B81BA85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slik at målene i helse-, miljø- og sikkerhetslovgivningen oppnås.</w:t>
      </w:r>
    </w:p>
    <w:p w:rsidR="00EC4847" w:rsidP="00EC4847" w14:paraId="4B81BA86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7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8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3.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Definisjoner</w:t>
      </w:r>
    </w:p>
    <w:p w:rsidR="00EC4847" w:rsidRPr="00EC4847" w:rsidP="00EC4847" w14:paraId="4B81BA89" w14:textId="77777777">
      <w:pPr>
        <w:pStyle w:val="mortaga"/>
        <w:shd w:val="clear" w:color="auto" w:fill="FFFFFF"/>
        <w:spacing w:before="0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I denne forskrift betyr:</w:t>
      </w:r>
      <w:r w:rsidRPr="00EC4847">
        <w:rPr>
          <w:rStyle w:val="break"/>
          <w:rFonts w:ascii="Helvetica" w:hAnsi="Helvetica" w:cs="Helvetica"/>
          <w:color w:val="333333"/>
          <w:sz w:val="23"/>
          <w:szCs w:val="23"/>
          <w:highlight w:val="cyan"/>
        </w:rPr>
        <w:t> </w:t>
      </w:r>
    </w:p>
    <w:p w:rsidR="00EC4847" w:rsidP="00EC4847" w14:paraId="4B81BA8A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Style w:val="Emphasis"/>
          <w:rFonts w:ascii="Helvetica" w:hAnsi="Helvetica" w:cs="Helvetica"/>
          <w:color w:val="333333"/>
          <w:sz w:val="23"/>
          <w:szCs w:val="23"/>
          <w:highlight w:val="cyan"/>
        </w:rPr>
        <w:t>Internkontroll: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 Systematiske tiltak som skal sikre at virksomhetenes aktiviteter planlegges, organiseres, utføres, sikres og vedlikeholdes i samsvar med krav fastsatt i eller i medhold av helse-, miljø- og sikkerhetslovgivningen.</w:t>
      </w:r>
    </w:p>
    <w:p w:rsidR="00EC4847" w:rsidP="00EC4847" w14:paraId="4B81BA8B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C" w14:textId="77777777">
      <w:pPr>
        <w:pStyle w:val="mortagm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8D" w14:textId="77777777">
      <w:pPr>
        <w:pStyle w:val="Heading2"/>
        <w:shd w:val="clear" w:color="auto" w:fill="FFFFFF"/>
        <w:spacing w:before="150" w:after="150"/>
        <w:rPr>
          <w:rFonts w:ascii="Helvetica" w:hAnsi="Helvetica" w:cs="Helvetica"/>
          <w:b w:val="0"/>
          <w:color w:val="333333"/>
          <w:highlight w:val="cyan"/>
        </w:rPr>
      </w:pPr>
      <w:r w:rsidRPr="00EC4847">
        <w:rPr>
          <w:rFonts w:ascii="Helvetica" w:hAnsi="Helvetica" w:cs="Helvetica"/>
          <w:color w:val="333333"/>
          <w:highlight w:val="cyan"/>
        </w:rPr>
        <w:t>§ 4.</w:t>
      </w:r>
      <w:r w:rsidRPr="00EC4847">
        <w:rPr>
          <w:rStyle w:val="Emphasis"/>
          <w:rFonts w:ascii="Helvetica" w:hAnsi="Helvetica" w:cs="Helvetica"/>
          <w:color w:val="333333"/>
          <w:highlight w:val="cyan"/>
        </w:rPr>
        <w:t>Plikt til internkontroll</w:t>
      </w:r>
    </w:p>
    <w:p w:rsidR="00EC4847" w:rsidRPr="00EC4847" w:rsidP="00EC4847" w14:paraId="4B81BA8E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Den som er ansvarlig for virksomheten skal sørge for at det innføres og utøves internkontroll i virksomheten og at dette gjøres i samarbeid med arbeidstakerne og deres representanter.</w:t>
      </w:r>
    </w:p>
    <w:p w:rsidR="00EC4847" w:rsidP="00EC4847" w14:paraId="4B81BA8F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Arbeidstakerne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skal medvirke ved innføring og utøvelse av internkontroll.</w:t>
      </w:r>
    </w:p>
    <w:p w:rsidR="0052577D" w14:paraId="4B81BA90" w14:textId="77777777">
      <w:r>
        <w:tab/>
      </w:r>
      <w:r>
        <w:rPr>
          <w:noProof/>
        </w:rPr>
        <w:drawing>
          <wp:inline distT="0" distB="0" distL="0" distR="0">
            <wp:extent cx="6012180" cy="5040351"/>
            <wp:effectExtent l="0" t="0" r="762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4809" cy="50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4B81BA91" w14:textId="77777777"/>
    <w:p w:rsidR="00EC4847" w:rsidRPr="00EC4847" w14:paraId="4B81BA92" w14:textId="77777777">
      <w:pPr>
        <w:rPr>
          <w:b/>
          <w:bCs/>
        </w:rPr>
      </w:pPr>
      <w:r w:rsidRPr="00EC4847">
        <w:rPr>
          <w:b/>
          <w:bCs/>
        </w:rPr>
        <w:t>KOMMENTARER TIL INTERNKONTROLLFORSKRIFTEN</w:t>
      </w:r>
    </w:p>
    <w:p w:rsidR="00EC4847" w14:paraId="4B81BA93" w14:textId="77777777"/>
    <w:p w:rsidR="00EC4847" w:rsidRPr="00EC4847" w:rsidP="00EC4847" w14:paraId="4B81BA94" w14:textId="77777777">
      <w:pPr>
        <w:pStyle w:val="Heading3"/>
        <w:shd w:val="clear" w:color="auto" w:fill="FFFFFF"/>
        <w:spacing w:before="150" w:after="150"/>
        <w:rPr>
          <w:rFonts w:ascii="Helvetica" w:hAnsi="Helvetica" w:cs="Helvetica"/>
          <w:color w:val="4A0D17"/>
          <w:sz w:val="24"/>
          <w:szCs w:val="24"/>
          <w:highlight w:val="cyan"/>
        </w:rPr>
      </w:pPr>
      <w:r w:rsidRPr="00EC4847">
        <w:rPr>
          <w:rFonts w:ascii="Helvetica" w:hAnsi="Helvetica" w:cs="Helvetica"/>
          <w:color w:val="4A0D17"/>
          <w:sz w:val="24"/>
          <w:szCs w:val="24"/>
          <w:highlight w:val="cyan"/>
        </w:rPr>
        <w:t>Til § 4 Plikt til internkontroll</w:t>
      </w:r>
    </w:p>
    <w:p w:rsidR="00EC4847" w:rsidP="00EC4847" w14:paraId="4B81BA95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 xml:space="preserve">Plikten til å innføre og utøve internkontroll påhviler «den som er ansvarlig» for virksomheten. Med dette menes virksomhetens ledelse/eier. Hvem, eller hvilke funksjoner dette kan være, varierer etter hvordan virksomheten er organisert. Selv om internkontroll må utøves på alle nivåer i virksomheten, tilligger hovedansvaret for å sette i gang arbeidet («innføre» internkontroll) og å holde det i gang («utøve» internkontroll) det øverste nivået i virksomheten. Paragrafen presiserer imidlertid at plikten til å 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</w:rPr>
        <w:t>innføre og å utøve internkontroll skal gjøres i samarbeid med arbeidstakerne, arbeidsmiljøutvalg, verneombud og/eller tillitsvalgte der dette finnes.</w:t>
      </w:r>
    </w:p>
    <w:p w:rsidR="00EC4847" w:rsidP="00EC4847" w14:paraId="4B81BA96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P="00EC4847" w14:paraId="4B81BA97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P="00EC4847" w14:paraId="4B81BA98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:rsidP="00EC4847" w14:paraId="4B81BA99" w14:textId="77777777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3"/>
          <w:szCs w:val="23"/>
          <w:highlight w:val="cyan"/>
        </w:rPr>
      </w:pPr>
    </w:p>
    <w:p w:rsidR="00EC4847" w:rsidRPr="00EC4847" w14:paraId="4B81BA9A" w14:textId="77777777">
      <w:pPr>
        <w:rPr>
          <w:highlight w:val="cyan"/>
        </w:rPr>
      </w:pPr>
    </w:p>
    <w:p w:rsidR="00EC4847" w14:paraId="4B81BA9B" w14:textId="77777777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EC4847">
        <w:rPr>
          <w:highlight w:val="cyan"/>
        </w:rPr>
        <w:t>«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Det er helt sentralt at internkontroll integreres i overordnet styring og planlegging av virksomheten. Stadig flere virksomheter er i dag opptatt av å gjøre forholdet til det ytre miljø til en del av bedriftens organisasjonsstrategi og profil, og internkontroll er et instrument som kan utnyttes for å styrke dette arbeidet innad i bedriften. Også arbeidstakere vil være interessert i at deres arbeidsplass har en miljøprofil og gjør sitt for et mer miljøvennlig samfunn. Internkontrollen skal også omfatte krave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ne til det ytre miljø, og er derfor et instrument for arbeidstakerne og deres tillitsvalgte til å påvirke også de av virksomhetens disposisjoner som berører miljøet. I forbindelse med internkontrollarbeidet er det videre klart at arbeidstakernes erfaringer er en vesentlig forutsetning for en velfungerende internkontroll. Arbeidstakernes konkrete erfaringer med f.eks. ulike innsatsfaktorer i produksjonen, innkjøp, avfallshåndtering mv., er verdifull kunnskap som kan bidra til en systematisk gjennomgang av al</w:t>
      </w:r>
      <w:r w:rsidRPr="00EC4847">
        <w:rPr>
          <w:rFonts w:ascii="Helvetica" w:hAnsi="Helvetica" w:cs="Helvetica"/>
          <w:color w:val="333333"/>
          <w:sz w:val="23"/>
          <w:szCs w:val="23"/>
          <w:highlight w:val="cyan"/>
          <w:shd w:val="clear" w:color="auto" w:fill="FFFFFF"/>
        </w:rPr>
        <w:t>le sider ved virksomheten med virkning for det ytre miljø. Området for eventuelle interessekonflikter synes også begrenset i og med at hensynet til arbeidsmiljøet og det ytre miljø som regel vil trekke i samme retning.»</w:t>
      </w:r>
    </w:p>
    <w:p w:rsidR="00EC4847" w14:paraId="4B81BA9C" w14:textId="77777777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C4847" w14:paraId="4B81BA9D" w14:textId="77777777"/>
    <w:p w:rsidR="00EC4847" w:rsidRPr="00EC4847" w14:paraId="4B81BA9E" w14:textId="77777777">
      <w:pPr>
        <w:rPr>
          <w:b/>
          <w:bCs/>
        </w:rPr>
      </w:pPr>
      <w:r w:rsidRPr="00EC4847">
        <w:rPr>
          <w:b/>
          <w:bCs/>
        </w:rPr>
        <w:t>Praktiske implikasjoner for skolen</w:t>
      </w:r>
    </w:p>
    <w:p w:rsidR="00EC4847" w14:paraId="4B81BA9F" w14:textId="77777777"/>
    <w:p w:rsidR="00EC4847" w14:paraId="4B81BAA0" w14:textId="77777777">
      <w:r>
        <w:t xml:space="preserve">Skolen må, </w:t>
      </w:r>
      <w:r>
        <w:t>jamfør paragraf 5, skriftlig dokumentere etterlevelse av 5 punkter.</w:t>
      </w:r>
    </w:p>
    <w:p w:rsidR="00EC4847" w14:paraId="4B81BAA1" w14:textId="77777777">
      <w:r>
        <w:t>Disse punkter er adressert nedenfor.</w:t>
      </w:r>
    </w:p>
    <w:p w:rsidR="00EC4847" w14:paraId="4B81BAA2" w14:textId="77777777"/>
    <w:p w:rsidR="00EC4847" w14:paraId="4B81BAA3" w14:textId="77777777">
      <w:pPr>
        <w:rPr>
          <w:b/>
          <w:bCs/>
        </w:rPr>
      </w:pPr>
      <w:r w:rsidRPr="00EC4847">
        <w:rPr>
          <w:b/>
          <w:bCs/>
        </w:rPr>
        <w:t>FASTSETTE MÅL FOR HELSE, MILJØ OG SIKKERHET</w:t>
      </w:r>
    </w:p>
    <w:p w:rsidR="00605F89" w14:paraId="4B81BAA4" w14:textId="77777777">
      <w:pPr>
        <w:rPr>
          <w:b/>
          <w:bCs/>
        </w:rPr>
      </w:pPr>
    </w:p>
    <w:p w:rsidR="00605F89" w14:paraId="4B81BAA5" w14:textId="77777777">
      <w:pPr>
        <w:rPr>
          <w:b/>
          <w:bCs/>
        </w:rPr>
      </w:pPr>
      <w:r>
        <w:rPr>
          <w:b/>
          <w:bCs/>
        </w:rPr>
        <w:t>Dekket via:</w:t>
      </w:r>
    </w:p>
    <w:p w:rsidR="00605F89" w14:paraId="4B81BAA6" w14:textId="77777777">
      <w:pPr>
        <w:rPr>
          <w:b/>
          <w:bCs/>
        </w:rPr>
      </w:pPr>
    </w:p>
    <w:p w:rsidR="00605F89" w:rsidRPr="00660063" w14:paraId="4B81BAA7" w14:textId="77777777">
      <w:r w:rsidRPr="00660063">
        <w:t xml:space="preserve">Kvalitetsmål for HMS/Internkontroll. </w:t>
      </w:r>
    </w:p>
    <w:p w:rsidR="00605F89" w:rsidRPr="00660063" w14:paraId="4B81BAA8" w14:textId="77777777">
      <w:r w:rsidRPr="00660063">
        <w:t xml:space="preserve">Referater fra AMU-møter i Netpower. </w:t>
      </w:r>
    </w:p>
    <w:p w:rsidR="00605F89" w:rsidRPr="00660063" w14:paraId="4B81BAA9" w14:textId="77777777">
      <w:r w:rsidRPr="00660063">
        <w:t>HMS-hjulet.</w:t>
      </w:r>
    </w:p>
    <w:p w:rsidR="00605F89" w:rsidRPr="00EC4847" w14:paraId="4B81BAAA" w14:textId="77777777">
      <w:pPr>
        <w:rPr>
          <w:b/>
          <w:bCs/>
        </w:rPr>
      </w:pPr>
    </w:p>
    <w:p w:rsidR="00EC4847" w:rsidRPr="00605F89" w14:paraId="4B81BAAB" w14:textId="77777777">
      <w:pPr>
        <w:rPr>
          <w:b/>
          <w:bCs/>
        </w:rPr>
      </w:pPr>
      <w:r w:rsidRPr="00605F89">
        <w:rPr>
          <w:b/>
          <w:bCs/>
        </w:rPr>
        <w:t>HA OVERSIKT OVER VIRKSOMHETENS ORGANISASJON, HERUNDER HVORDAN ANSVAR, OPPGAVER OG MYNDIGHET FOR ARBEIDET MED HELSE, MILJØ OG SIKKERHET ER FORDELT</w:t>
      </w:r>
    </w:p>
    <w:p w:rsidR="00EC4847" w14:paraId="4B81BAAC" w14:textId="77777777">
      <w:r>
        <w:tab/>
      </w:r>
    </w:p>
    <w:p w:rsidR="00EC4847" w:rsidRPr="00605F89" w14:paraId="4B81BAAD" w14:textId="77777777">
      <w:pPr>
        <w:rPr>
          <w:b/>
          <w:bCs/>
        </w:rPr>
      </w:pPr>
      <w:r w:rsidRPr="00605F89">
        <w:rPr>
          <w:b/>
          <w:bCs/>
        </w:rPr>
        <w:t>Dekket via:</w:t>
      </w:r>
    </w:p>
    <w:p w:rsidR="00605F89" w14:paraId="4B81BAAE" w14:textId="77777777"/>
    <w:p w:rsidR="002324D8" w:rsidRPr="00660063" w:rsidP="002324D8" w14:paraId="0AB58EDA" w14:textId="77777777">
      <w:r w:rsidRPr="00660063">
        <w:t>HMS-hjulet</w:t>
      </w:r>
    </w:p>
    <w:p w:rsidR="002324D8" w:rsidRPr="00660063" w:rsidP="002324D8" w14:paraId="7235F964" w14:textId="77777777">
      <w:r w:rsidRPr="00660063">
        <w:t>BEREDSKAP/HMS; Organisasjonskart for HMS</w:t>
      </w:r>
    </w:p>
    <w:p w:rsidR="002324D8" w:rsidRPr="00660063" w:rsidP="002324D8" w14:paraId="1BAD5403" w14:textId="77777777">
      <w:r w:rsidRPr="00660063">
        <w:t>Arbeidsmiljøutvalget (AMU)</w:t>
      </w:r>
    </w:p>
    <w:p w:rsidR="002324D8" w:rsidRPr="00660063" w:rsidP="002324D8" w14:paraId="637CB31B" w14:textId="77777777">
      <w:r w:rsidRPr="00660063">
        <w:t>Vernetjenesten</w:t>
      </w:r>
    </w:p>
    <w:p w:rsidR="002324D8" w:rsidRPr="00660063" w:rsidP="002324D8" w14:paraId="41EFFF9B" w14:textId="77777777">
      <w:r w:rsidRPr="00660063">
        <w:t>BRANNVERN; Ansvar for Brannsikkerhet</w:t>
      </w:r>
    </w:p>
    <w:p w:rsidR="002324D8" w:rsidRPr="00660063" w:rsidP="002324D8" w14:paraId="2F2DAD42" w14:textId="77777777">
      <w:r w:rsidRPr="00660063">
        <w:t>Sjekkliste Handlingsplan fysisk og psykososialt miljø</w:t>
      </w:r>
    </w:p>
    <w:p w:rsidR="002324D8" w:rsidRPr="00660063" w:rsidP="002324D8" w14:paraId="065C8F8D" w14:textId="77777777">
      <w:r w:rsidRPr="00660063">
        <w:t>Prosessoversikt</w:t>
      </w:r>
    </w:p>
    <w:p w:rsidR="002324D8" w:rsidRPr="00660063" w:rsidP="002324D8" w14:paraId="27FBCE25" w14:textId="77777777">
      <w:r w:rsidRPr="00660063">
        <w:t>Organisasjonskart for skolevirksomheten</w:t>
      </w:r>
    </w:p>
    <w:p w:rsidR="002324D8" w:rsidP="002324D8" w14:paraId="02202495" w14:textId="77777777">
      <w:r w:rsidRPr="00660063">
        <w:t>Funksjonsinstruks – Kvalitetsleder (KS-leder)</w:t>
      </w:r>
    </w:p>
    <w:p w:rsidR="002324D8" w:rsidP="002324D8" w14:paraId="26281204" w14:textId="77777777">
      <w:r>
        <w:t>Funksjonsinstruks – Ledelsens Representant</w:t>
      </w:r>
    </w:p>
    <w:p w:rsidR="002324D8" w:rsidRPr="00660063" w:rsidP="002324D8" w14:paraId="6A47EB89" w14:textId="77777777">
      <w:r>
        <w:t>Vernerunder 2023-Handlingsplan</w:t>
      </w:r>
    </w:p>
    <w:p w:rsidR="002324D8" w:rsidRPr="00280B88" w:rsidP="002324D8" w14:paraId="6423CD92" w14:textId="77777777">
      <w:r>
        <w:t>HMS – Årshjul for Skolemiljøarbeid</w:t>
      </w:r>
    </w:p>
    <w:p w:rsidR="00605F89" w14:paraId="4B81BAB8" w14:textId="77777777">
      <w:pPr>
        <w:rPr>
          <w:i/>
          <w:iCs/>
        </w:rPr>
      </w:pPr>
    </w:p>
    <w:p w:rsidR="00F9450C" w14:paraId="4B81BAB9" w14:textId="77777777">
      <w:pPr>
        <w:rPr>
          <w:i/>
          <w:iCs/>
        </w:rPr>
      </w:pPr>
    </w:p>
    <w:p w:rsidR="00F9450C" w14:paraId="4B81BABA" w14:textId="77777777">
      <w:pPr>
        <w:rPr>
          <w:i/>
          <w:iCs/>
        </w:rPr>
      </w:pPr>
    </w:p>
    <w:p w:rsidR="00F9450C" w14:paraId="4B81BABB" w14:textId="77777777">
      <w:pPr>
        <w:rPr>
          <w:i/>
          <w:iCs/>
        </w:rPr>
      </w:pPr>
    </w:p>
    <w:p w:rsidR="00F9450C" w14:paraId="4B81BABC" w14:textId="77777777">
      <w:pPr>
        <w:rPr>
          <w:i/>
          <w:iCs/>
        </w:rPr>
      </w:pPr>
    </w:p>
    <w:p w:rsidR="00F9450C" w14:paraId="4B81BABD" w14:textId="77777777">
      <w:pPr>
        <w:rPr>
          <w:i/>
          <w:iCs/>
        </w:rPr>
      </w:pPr>
    </w:p>
    <w:p w:rsidR="00F9450C" w14:paraId="4B81BABE" w14:textId="77777777">
      <w:pPr>
        <w:rPr>
          <w:i/>
          <w:iCs/>
        </w:rPr>
      </w:pPr>
    </w:p>
    <w:p w:rsidR="00F9450C" w14:paraId="4B81BABF" w14:textId="77777777">
      <w:pPr>
        <w:rPr>
          <w:i/>
          <w:iCs/>
        </w:rPr>
      </w:pPr>
    </w:p>
    <w:p w:rsidR="00F9450C" w14:paraId="4B81BAC0" w14:textId="77777777">
      <w:pPr>
        <w:rPr>
          <w:i/>
          <w:iCs/>
        </w:rPr>
      </w:pPr>
    </w:p>
    <w:p w:rsidR="00F9450C" w14:paraId="4B81BAC1" w14:textId="77777777">
      <w:pPr>
        <w:rPr>
          <w:i/>
          <w:iCs/>
        </w:rPr>
      </w:pPr>
    </w:p>
    <w:p w:rsidR="00605F89" w:rsidRPr="00605F89" w14:paraId="4B81BAC2" w14:textId="77777777">
      <w:pPr>
        <w:rPr>
          <w:b/>
          <w:bCs/>
        </w:rPr>
      </w:pPr>
      <w:r w:rsidRPr="00605F89">
        <w:rPr>
          <w:b/>
          <w:bCs/>
        </w:rPr>
        <w:t xml:space="preserve">KARTLEGGE FARER OG PROBLEMER OG PÅ DENNE BAKGRUNN </w:t>
      </w:r>
      <w:r w:rsidRPr="00605F89">
        <w:rPr>
          <w:b/>
          <w:bCs/>
        </w:rPr>
        <w:t>VURDERE RISIKO, SAMT UTARBEIDE TILHØRENDE PLANER OG TILTAK FOR Å REDUSERE RISIKOFORHOLDENE</w:t>
      </w:r>
    </w:p>
    <w:p w:rsidR="00605F89" w14:paraId="4B81BAC3" w14:textId="77777777"/>
    <w:p w:rsidR="00605F89" w:rsidRPr="00EC7AE3" w14:paraId="4B81BAC4" w14:textId="77777777">
      <w:pPr>
        <w:rPr>
          <w:b/>
          <w:bCs/>
        </w:rPr>
      </w:pPr>
      <w:r w:rsidRPr="00EC7AE3">
        <w:rPr>
          <w:b/>
          <w:bCs/>
        </w:rPr>
        <w:t>Dekket via:</w:t>
      </w:r>
    </w:p>
    <w:p w:rsidR="00605F89" w14:paraId="4B81BAC5" w14:textId="77777777"/>
    <w:p w:rsidR="00605F89" w14:paraId="4B81BAC6" w14:textId="77777777">
      <w:r>
        <w:t>MAL Risikovurdering</w:t>
      </w:r>
    </w:p>
    <w:p w:rsidR="00605F89" w14:paraId="4B81BAC7" w14:textId="77777777">
      <w:r>
        <w:t>Risikovurderinger for alle risikoområder (lagt i KS), med tilhørende tiltaksplaner</w:t>
      </w:r>
    </w:p>
    <w:p w:rsidR="00605F89" w14:paraId="4B81BAC8" w14:textId="77777777">
      <w:r>
        <w:t>Tiltaksplaner etter Vernerunder</w:t>
      </w:r>
    </w:p>
    <w:p w:rsidR="00605F89" w14:paraId="4B81BAC9" w14:textId="77777777">
      <w:r>
        <w:t>Revisjonsplan</w:t>
      </w:r>
    </w:p>
    <w:p w:rsidR="00F9450C" w14:paraId="4B81BACA" w14:textId="77777777">
      <w:bookmarkStart w:id="1" w:name="_Hlk72320505"/>
      <w:r>
        <w:t>Risikovurdering; Grunnleggende prinsipper</w:t>
      </w:r>
    </w:p>
    <w:p w:rsidR="00F9450C" w14:paraId="4B81BACB" w14:textId="77777777">
      <w:bookmarkStart w:id="2" w:name="_Hlk72320418"/>
      <w:bookmarkEnd w:id="1"/>
      <w:r>
        <w:t>ROS-begreper/Begreper for Risikoanalyse</w:t>
      </w:r>
    </w:p>
    <w:p w:rsidR="00F9450C" w14:paraId="4B81BACC" w14:textId="77777777">
      <w:r>
        <w:t>SWOT, PEST og ROS – Instruksjon</w:t>
      </w:r>
    </w:p>
    <w:bookmarkEnd w:id="2"/>
    <w:p w:rsidR="00F9450C" w14:paraId="4B81BACD" w14:textId="77777777"/>
    <w:p w:rsidR="00EC7AE3" w14:paraId="4B81BACE" w14:textId="77777777">
      <w:pPr>
        <w:rPr>
          <w:b/>
          <w:bCs/>
        </w:rPr>
      </w:pPr>
      <w:r>
        <w:rPr>
          <w:b/>
          <w:bCs/>
        </w:rPr>
        <w:t>IVERKSETTE RUTINER FOR Å AVDEKKE, RETTE OPP OG FOREBYGGE OVERTREDELSER AV KRAV FASTSATT I ELLER I MEDHOLD AV HMS-LOVGIVNINGEN</w:t>
      </w:r>
    </w:p>
    <w:p w:rsidR="00EC7AE3" w14:paraId="4B81BACF" w14:textId="77777777">
      <w:pPr>
        <w:rPr>
          <w:b/>
          <w:bCs/>
        </w:rPr>
      </w:pPr>
    </w:p>
    <w:p w:rsidR="00EC7AE3" w14:paraId="4B81BAD0" w14:textId="77777777">
      <w:pPr>
        <w:rPr>
          <w:b/>
          <w:bCs/>
        </w:rPr>
      </w:pPr>
      <w:r>
        <w:rPr>
          <w:b/>
          <w:bCs/>
        </w:rPr>
        <w:t xml:space="preserve">Dekket via:  </w:t>
      </w:r>
    </w:p>
    <w:p w:rsidR="00EC7AE3" w14:paraId="4B81BAD1" w14:textId="77777777">
      <w:pPr>
        <w:rPr>
          <w:b/>
          <w:bCs/>
        </w:rPr>
      </w:pPr>
    </w:p>
    <w:p w:rsidR="00EC7AE3" w:rsidRPr="00EC7AE3" w14:paraId="4B81BAD2" w14:textId="77777777">
      <w:pPr>
        <w:rPr>
          <w:i/>
          <w:iCs/>
        </w:rPr>
      </w:pPr>
      <w:r w:rsidRPr="00EC7AE3">
        <w:rPr>
          <w:i/>
          <w:iCs/>
        </w:rPr>
        <w:t>Avvikssystemet I EK + Avvikssystem i Netpower + Avvikssystem i MENG</w:t>
      </w:r>
    </w:p>
    <w:p w:rsidR="00EC7AE3" w14:paraId="4B81BAD3" w14:textId="77777777"/>
    <w:p w:rsidR="00EC7AE3" w14:paraId="4B81BAD4" w14:textId="77777777">
      <w:r>
        <w:t>Avviksbehandling; Rapport om uønsket hendelse</w:t>
      </w:r>
    </w:p>
    <w:p w:rsidR="00EC7AE3" w14:paraId="4B81BAD5" w14:textId="77777777">
      <w:r>
        <w:t>Avviksbehandling; Prosedyre for behandling av avvik, korrigerende og forebyggende tiltak</w:t>
      </w:r>
    </w:p>
    <w:p w:rsidR="00EC7AE3" w14:paraId="4B81BAD6" w14:textId="77777777">
      <w:r>
        <w:t>Avviksbehandling; Prosedyre for utfylling av avviksskjema DK Delta</w:t>
      </w:r>
    </w:p>
    <w:p w:rsidR="00EC7AE3" w14:paraId="4B81BAD7" w14:textId="77777777">
      <w:r>
        <w:t>Prosess Avvikshåndtering</w:t>
      </w:r>
    </w:p>
    <w:p w:rsidR="002324D8" w:rsidP="002324D8" w14:paraId="52E14B64" w14:textId="77777777">
      <w:r>
        <w:t>GDPR – Personvern – Avviksrapportering</w:t>
      </w:r>
      <w:r>
        <w:br/>
      </w:r>
      <w:r>
        <w:t>Avviksbehandling; Forbedringsskjema manuelt skjema</w:t>
      </w:r>
    </w:p>
    <w:p w:rsidR="00EC7AE3" w14:paraId="4B81BAD8" w14:textId="28162701"/>
    <w:p w:rsidR="00EC7AE3" w14:paraId="4B81BAD9" w14:textId="77777777"/>
    <w:p w:rsidR="00EC7AE3" w:rsidRPr="00EC7AE3" w14:paraId="4B81BADA" w14:textId="77777777">
      <w:pPr>
        <w:rPr>
          <w:b/>
          <w:bCs/>
        </w:rPr>
      </w:pPr>
      <w:r w:rsidRPr="00EC7AE3">
        <w:rPr>
          <w:b/>
          <w:bCs/>
        </w:rPr>
        <w:t>FORETA JEVNLIG GJENNOMGANG AV DET SYSTEMATISKE HMS ARBEID FOR Å SIKRE AT DET FUNGERER SOM FORUTSATT</w:t>
      </w:r>
    </w:p>
    <w:p w:rsidR="00EC7AE3" w14:paraId="4B81BADB" w14:textId="77777777"/>
    <w:p w:rsidR="00EC7AE3" w14:paraId="4B81BADC" w14:textId="77777777">
      <w:pPr>
        <w:rPr>
          <w:b/>
          <w:bCs/>
        </w:rPr>
      </w:pPr>
      <w:r>
        <w:rPr>
          <w:b/>
          <w:bCs/>
        </w:rPr>
        <w:t>Dekket via:</w:t>
      </w:r>
    </w:p>
    <w:p w:rsidR="00EC7AE3" w14:paraId="4B81BADD" w14:textId="77777777">
      <w:pPr>
        <w:rPr>
          <w:b/>
          <w:bCs/>
        </w:rPr>
      </w:pPr>
    </w:p>
    <w:p w:rsidR="00EC7AE3" w14:paraId="4B81BADE" w14:textId="77777777">
      <w:pPr>
        <w:rPr>
          <w:i/>
          <w:iCs/>
        </w:rPr>
      </w:pPr>
      <w:r w:rsidRPr="00EC7AE3">
        <w:rPr>
          <w:i/>
          <w:iCs/>
        </w:rPr>
        <w:t>Ledelsens Gjennomgang</w:t>
      </w:r>
    </w:p>
    <w:p w:rsidR="00EC7AE3" w:rsidRPr="00EC7AE3" w14:paraId="4B81BADF" w14:textId="77777777">
      <w:pPr>
        <w:rPr>
          <w:i/>
          <w:iCs/>
        </w:rPr>
      </w:pPr>
    </w:p>
    <w:p w:rsidR="00EC7AE3" w14:paraId="4B81BAE0" w14:textId="77777777">
      <w:r>
        <w:t xml:space="preserve">Interne </w:t>
      </w:r>
      <w:r>
        <w:t>Evalueringer – Elevundersøkelse – Utviklingsplan -Ledelsens Gjennomgang</w:t>
      </w:r>
    </w:p>
    <w:p w:rsidR="00EC7AE3" w14:paraId="4B81BAE1" w14:textId="77777777">
      <w:r>
        <w:t>Prosedyre for Ledelsens Gjennomgang</w:t>
      </w:r>
    </w:p>
    <w:p w:rsidR="00EC7AE3" w14:paraId="4B81BAE2" w14:textId="77777777">
      <w:r>
        <w:t>Tiltaksliste Ledelsens Gjennomgang</w:t>
      </w:r>
    </w:p>
    <w:p w:rsidR="00EC7AE3" w14:paraId="4B81BAE3" w14:textId="77777777"/>
    <w:p w:rsidR="00EC7AE3" w:rsidRPr="00EC7AE3" w14:paraId="4B81BAE4" w14:textId="77777777">
      <w:pPr>
        <w:rPr>
          <w:i/>
          <w:iCs/>
        </w:rPr>
      </w:pPr>
      <w:r w:rsidRPr="00EC7AE3">
        <w:rPr>
          <w:i/>
          <w:iCs/>
        </w:rPr>
        <w:t>Eksterne og Interne revisjoner</w:t>
      </w:r>
    </w:p>
    <w:p w:rsidR="00EC7AE3" w14:paraId="4B81BAE5" w14:textId="77777777"/>
    <w:p w:rsidR="00EC7AE3" w14:paraId="4B81BAE6" w14:textId="77777777">
      <w:r>
        <w:t>Revisjonsplan</w:t>
      </w:r>
    </w:p>
    <w:p w:rsidR="00EC7AE3" w14:paraId="4B81BAE7" w14:textId="77777777">
      <w:r>
        <w:t>REVISJON – Prosedyre for interne revisjoner</w:t>
      </w:r>
    </w:p>
    <w:p w:rsidR="00EC7AE3" w14:paraId="4B81BAE8" w14:textId="77777777"/>
    <w:p w:rsidR="00EC7AE3" w14:paraId="4B81BAE9" w14:textId="77777777">
      <w:pPr>
        <w:rPr>
          <w:i/>
          <w:iCs/>
        </w:rPr>
      </w:pPr>
      <w:r>
        <w:rPr>
          <w:i/>
          <w:iCs/>
        </w:rPr>
        <w:t>Vernerunder med tiltaksplaner</w:t>
      </w:r>
    </w:p>
    <w:p w:rsidR="00EC7AE3" w14:paraId="4B81BAEA" w14:textId="77777777">
      <w:pPr>
        <w:rPr>
          <w:i/>
          <w:iCs/>
        </w:rPr>
      </w:pPr>
    </w:p>
    <w:p w:rsidR="00EC7AE3" w14:paraId="4B81BAEB" w14:textId="77777777">
      <w:r>
        <w:t>Vernetjenesten</w:t>
      </w:r>
    </w:p>
    <w:p w:rsidR="00EC7AE3" w14:paraId="4B81BAEC" w14:textId="77777777"/>
    <w:p w:rsidR="00EC7AE3" w14:paraId="4B81BAED" w14:textId="77777777">
      <w:pPr>
        <w:rPr>
          <w:i/>
          <w:iCs/>
        </w:rPr>
      </w:pPr>
      <w:r>
        <w:rPr>
          <w:i/>
          <w:iCs/>
        </w:rPr>
        <w:t>AMU-møter</w:t>
      </w:r>
    </w:p>
    <w:p w:rsidR="00EC7AE3" w14:paraId="4B81BAEE" w14:textId="77777777">
      <w:pPr>
        <w:rPr>
          <w:i/>
          <w:iCs/>
        </w:rPr>
      </w:pPr>
    </w:p>
    <w:p w:rsidR="00EC7AE3" w14:paraId="4B81BAEF" w14:textId="77777777">
      <w:r>
        <w:t>Arbeidsmiljøutvalget (AMU)</w:t>
      </w:r>
    </w:p>
    <w:p w:rsidR="00EC7AE3" w14:paraId="4B81BAF0" w14:textId="77777777">
      <w:r>
        <w:t>Referat fra AMU møter</w:t>
      </w:r>
    </w:p>
    <w:p w:rsidR="002324D8" w:rsidRPr="00EC7AE3" w:rsidP="002324D8" w14:paraId="0A12D8C9" w14:textId="77777777">
      <w:r>
        <w:t>AMU-Årshjul og oppgaver</w:t>
      </w:r>
    </w:p>
    <w:p w:rsidR="00EC7AE3" w:rsidRPr="00EC7AE3" w14:paraId="4B81BAF1" w14:textId="77777777"/>
    <w:p w:rsidR="00EC7AE3" w14:paraId="4B81BAF2" w14:textId="77777777"/>
    <w:p w:rsidR="00EC7AE3" w14:paraId="4B81BAF3" w14:textId="77777777"/>
    <w:p w:rsidR="00EC7AE3" w:rsidRPr="00EC7AE3" w14:paraId="4B81BAF4" w14:textId="77777777"/>
    <w:p w:rsidR="00EC7AE3" w:rsidRPr="00EC7AE3" w14:paraId="4B81BAF5" w14:textId="77777777"/>
    <w:p w:rsidR="00F9450C" w:rsidRPr="00605F89" w14:paraId="4B81BAF6" w14:textId="77777777"/>
    <w:p w:rsidR="0052577D" w14:paraId="4B81BAF7" w14:textId="77777777"/>
    <w:p w:rsidR="0052577D" w14:paraId="4B81BAF8" w14:textId="77777777">
      <w:pPr>
        <w:pStyle w:val="Normal2"/>
      </w:pPr>
    </w:p>
    <w:p w:rsidR="0052577D" w14:paraId="4B81BAF9" w14:textId="77777777">
      <w:pPr>
        <w:pStyle w:val="Punktheading"/>
      </w:pPr>
      <w:r>
        <w:t>Kryssreferanser</w:t>
      </w:r>
    </w:p>
    <w:p w:rsidR="001F706B" w:rsidP="001F706B" w14:paraId="4B81BAFA" w14:textId="77777777"/>
    <w:p w:rsidR="00660063" w:rsidRPr="00660063" w:rsidP="00660063" w14:paraId="4B81BAFB" w14:textId="77777777">
      <w:r w:rsidRPr="00660063">
        <w:t xml:space="preserve">Kvalitetsmål for HMS/Internkontroll. </w:t>
      </w:r>
    </w:p>
    <w:p w:rsidR="00660063" w:rsidRPr="00660063" w:rsidP="00660063" w14:paraId="4B81BAFC" w14:textId="77777777">
      <w:r w:rsidRPr="00660063">
        <w:t>HMS-hjulet.</w:t>
      </w:r>
    </w:p>
    <w:p w:rsidR="00660063" w:rsidRPr="00660063" w:rsidP="00660063" w14:paraId="4B81BAFD" w14:textId="77777777">
      <w:r w:rsidRPr="00660063">
        <w:t>BEREDSKAP/HMS; Organisasjonskart for HMS</w:t>
      </w:r>
    </w:p>
    <w:p w:rsidR="00660063" w:rsidRPr="00660063" w:rsidP="00660063" w14:paraId="4B81BAFE" w14:textId="77777777">
      <w:r w:rsidRPr="00660063">
        <w:t>Arbeidsmiljøutvalget (AMU)</w:t>
      </w:r>
    </w:p>
    <w:p w:rsidR="00660063" w:rsidRPr="00660063" w:rsidP="00660063" w14:paraId="4B81BAFF" w14:textId="77777777">
      <w:r w:rsidRPr="00660063">
        <w:t>Vernetjenesten</w:t>
      </w:r>
    </w:p>
    <w:p w:rsidR="00660063" w:rsidRPr="00660063" w:rsidP="00660063" w14:paraId="4B81BB00" w14:textId="77777777">
      <w:r w:rsidRPr="00660063">
        <w:t>BRANNVERN; Ansvar for Brannsikkerhet</w:t>
      </w:r>
    </w:p>
    <w:p w:rsidR="00660063" w:rsidRPr="00660063" w:rsidP="00660063" w14:paraId="4B81BB01" w14:textId="77777777">
      <w:r w:rsidRPr="00660063">
        <w:t>Sjekkliste Handlingsplan fysisk og psykososialt miljø</w:t>
      </w:r>
    </w:p>
    <w:p w:rsidR="00660063" w:rsidRPr="00660063" w:rsidP="00660063" w14:paraId="4B81BB02" w14:textId="77777777">
      <w:r w:rsidRPr="00660063">
        <w:t>Prosessoversikt</w:t>
      </w:r>
    </w:p>
    <w:p w:rsidR="00660063" w:rsidRPr="00660063" w:rsidP="00660063" w14:paraId="4B81BB03" w14:textId="77777777">
      <w:r w:rsidRPr="00660063">
        <w:t>Organisasjonskart for skolevirksomheten</w:t>
      </w:r>
    </w:p>
    <w:p w:rsidR="00660063" w:rsidRPr="00660063" w:rsidP="00660063" w14:paraId="4B81BB04" w14:textId="77777777">
      <w:r w:rsidRPr="00660063">
        <w:t>Funksjonsinstruks – Kvalitetsleder (KS-leder)</w:t>
      </w:r>
    </w:p>
    <w:p w:rsidR="00660063" w:rsidRPr="00660063" w:rsidP="00660063" w14:paraId="4B81BB05" w14:textId="77777777">
      <w:r w:rsidRPr="00660063">
        <w:t>MAL Risikovurdering</w:t>
      </w:r>
    </w:p>
    <w:p w:rsidR="00660063" w:rsidRPr="00660063" w:rsidP="00660063" w14:paraId="4B81BB06" w14:textId="77777777">
      <w:r w:rsidRPr="00660063">
        <w:t>Risikovurderinger for alle risikoområder (lagt i KS), med tilhørende tiltaksplaner</w:t>
      </w:r>
    </w:p>
    <w:p w:rsidR="00660063" w:rsidRPr="00660063" w:rsidP="00660063" w14:paraId="4B81BB07" w14:textId="77777777">
      <w:r w:rsidRPr="00660063">
        <w:t>Tiltaksplaner etter Vernerunder</w:t>
      </w:r>
    </w:p>
    <w:p w:rsidR="00660063" w:rsidRPr="00660063" w:rsidP="00660063" w14:paraId="4B81BB08" w14:textId="77777777">
      <w:r w:rsidRPr="00660063">
        <w:t>Revisjonsplan</w:t>
      </w:r>
    </w:p>
    <w:p w:rsidR="00660063" w:rsidRPr="00660063" w:rsidP="00660063" w14:paraId="4B81BB09" w14:textId="77777777">
      <w:r w:rsidRPr="00660063">
        <w:t>Risikovurdering; Grunnleggende prinsipper</w:t>
      </w:r>
    </w:p>
    <w:p w:rsidR="00660063" w:rsidRPr="00660063" w:rsidP="00660063" w14:paraId="4B81BB0A" w14:textId="77777777">
      <w:r w:rsidRPr="00660063">
        <w:t>ROS-begreper/Begreper for Risikoanalyse</w:t>
      </w:r>
    </w:p>
    <w:p w:rsidR="00660063" w:rsidRPr="00660063" w:rsidP="00660063" w14:paraId="4B81BB0B" w14:textId="77777777">
      <w:r w:rsidRPr="00660063">
        <w:t>SWOT, PEST og ROS – Instruksjon</w:t>
      </w:r>
    </w:p>
    <w:p w:rsidR="00660063" w:rsidRPr="00660063" w:rsidP="00660063" w14:paraId="4B81BB0C" w14:textId="77777777">
      <w:r w:rsidRPr="00660063">
        <w:t>Avviksbehandling; Rapport om uønsket hendelse</w:t>
      </w:r>
    </w:p>
    <w:p w:rsidR="00660063" w:rsidRPr="00660063" w:rsidP="00660063" w14:paraId="4B81BB0D" w14:textId="77777777">
      <w:r w:rsidRPr="00660063">
        <w:t>Avviksbehandling; Prosedyre for behandling av avvik, korrigerende og forebyggende tiltak</w:t>
      </w:r>
    </w:p>
    <w:p w:rsidR="00660063" w:rsidRPr="00660063" w:rsidP="00660063" w14:paraId="4B81BB0E" w14:textId="77777777">
      <w:r w:rsidRPr="00660063">
        <w:t>Avviksbehandling; Prosedyre for utfylling av avviksskjema DK Delta</w:t>
      </w:r>
    </w:p>
    <w:p w:rsidR="00660063" w:rsidRPr="00660063" w:rsidP="00660063" w14:paraId="4B81BB0F" w14:textId="77777777">
      <w:r w:rsidRPr="00660063">
        <w:t>Prosess Avvikshåndtering</w:t>
      </w:r>
    </w:p>
    <w:p w:rsidR="00660063" w:rsidRPr="00660063" w:rsidP="00660063" w14:paraId="4B81BB10" w14:textId="77777777">
      <w:r w:rsidRPr="00660063">
        <w:t>GDPR – Personvern – Avviksrapportering</w:t>
      </w:r>
    </w:p>
    <w:p w:rsidR="00660063" w:rsidRPr="00660063" w:rsidP="00660063" w14:paraId="4B81BB11" w14:textId="77777777">
      <w:r w:rsidRPr="00660063">
        <w:t xml:space="preserve">Interne </w:t>
      </w:r>
      <w:r w:rsidRPr="00660063">
        <w:t>Evalueringer – Elevundersøkelse – Utviklingsplan -Ledelsens Gjennomgang</w:t>
      </w:r>
    </w:p>
    <w:p w:rsidR="00660063" w:rsidRPr="00660063" w:rsidP="00660063" w14:paraId="4B81BB12" w14:textId="77777777">
      <w:r w:rsidRPr="00660063">
        <w:t>Prosedyre for Ledelsens Gjennomgang</w:t>
      </w:r>
    </w:p>
    <w:p w:rsidR="00660063" w:rsidRPr="00660063" w:rsidP="00660063" w14:paraId="4B81BB13" w14:textId="77777777">
      <w:r w:rsidRPr="00660063">
        <w:t>Tiltaksliste Ledelsens Gjennomgang</w:t>
      </w:r>
    </w:p>
    <w:p w:rsidR="00660063" w:rsidRPr="00660063" w:rsidP="00660063" w14:paraId="4B81BB14" w14:textId="77777777">
      <w:r w:rsidRPr="00660063">
        <w:t>Revisjonsplan</w:t>
      </w:r>
    </w:p>
    <w:p w:rsidR="00660063" w:rsidRPr="00660063" w:rsidP="00660063" w14:paraId="4B81BB15" w14:textId="77777777">
      <w:r w:rsidRPr="00660063">
        <w:t>REVISJON – Prosedyre for interne revisjoner</w:t>
      </w:r>
    </w:p>
    <w:p w:rsidR="00660063" w:rsidRPr="00660063" w:rsidP="00660063" w14:paraId="4B81BB16" w14:textId="77777777">
      <w:r w:rsidRPr="00660063">
        <w:t>Vernetjenesten</w:t>
      </w:r>
    </w:p>
    <w:p w:rsidR="00660063" w:rsidP="00660063" w14:paraId="4B81BB17" w14:textId="77777777">
      <w:r>
        <w:t>Arbeidsmiljøutvalget (AMU)</w:t>
      </w:r>
    </w:p>
    <w:p w:rsidR="001F706B" w:rsidRPr="001F706B" w:rsidP="001F706B" w14:paraId="4B81BB1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B81BB1C" w14:textId="77777777">
      <w:pPr>
        <w:pStyle w:val="Punktheading"/>
      </w:pPr>
      <w:bookmarkEnd w:id="3"/>
      <w:r>
        <w:t>Eksterne referanser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4B81BB2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C61A3" w14:paraId="4B81BB1D" w14:textId="77777777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0000FF"/>
                <w:u w:val="single"/>
              </w:rPr>
              <w:t xml:space="preserve"> </w:t>
            </w:r>
            <w:r w:rsidR="00EC484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FOR-1996-12-06-1127</w:t>
            </w:r>
          </w:p>
          <w:p w:rsidR="00660063" w:rsidRPr="00605F89" w:rsidP="00660063" w14:paraId="4B81BB1E" w14:textId="77777777">
            <w:pPr>
              <w:rPr>
                <w:i/>
                <w:iCs/>
              </w:rPr>
            </w:pPr>
            <w:r w:rsidRPr="00605F89">
              <w:rPr>
                <w:i/>
                <w:iCs/>
              </w:rPr>
              <w:t xml:space="preserve">Referater fra AMU-møter i Netpower. </w:t>
            </w:r>
          </w:p>
          <w:p w:rsidR="00EC4847" w14:paraId="4B81BB1F" w14:textId="77777777">
            <w:pPr>
              <w:rPr>
                <w:color w:val="0000FF"/>
                <w:u w:val="single"/>
              </w:rPr>
            </w:pPr>
          </w:p>
        </w:tc>
      </w:tr>
    </w:tbl>
    <w:p w:rsidR="0052577D" w14:paraId="4B81BB21" w14:textId="77777777">
      <w:pPr>
        <w:pStyle w:val="Normal2"/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B81BB2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B81BB2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B81BB2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B81BB2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KS2017.2.1.1-03</w:t>
          </w:r>
          <w:r>
            <w:rPr>
              <w:i w:val="0"/>
              <w:sz w:val="20"/>
            </w:rPr>
            <w:fldChar w:fldCharType="end"/>
          </w:r>
        </w:p>
      </w:tc>
    </w:tr>
    <w:tr w14:paraId="4B81BB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B81BB3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B81BB3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B81BB3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B81BB3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B81BB2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B81BB2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B81BB2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B81BB2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B81BB2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B81BB2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B81BB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B81BB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067651">
    <w:abstractNumId w:val="2"/>
  </w:num>
  <w:num w:numId="2" w16cid:durableId="1019936967">
    <w:abstractNumId w:val="0"/>
  </w:num>
  <w:num w:numId="3" w16cid:durableId="113004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1F706B"/>
    <w:rsid w:val="002324D8"/>
    <w:rsid w:val="00280B88"/>
    <w:rsid w:val="002A0407"/>
    <w:rsid w:val="003B4961"/>
    <w:rsid w:val="003C6DAE"/>
    <w:rsid w:val="004323E1"/>
    <w:rsid w:val="004C00E8"/>
    <w:rsid w:val="004E6573"/>
    <w:rsid w:val="0051404E"/>
    <w:rsid w:val="0052577D"/>
    <w:rsid w:val="00577F78"/>
    <w:rsid w:val="005C51C7"/>
    <w:rsid w:val="005E76BE"/>
    <w:rsid w:val="00605F89"/>
    <w:rsid w:val="00660063"/>
    <w:rsid w:val="00742174"/>
    <w:rsid w:val="007A7A3C"/>
    <w:rsid w:val="007C61A3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E39E3"/>
    <w:rsid w:val="00CF0DEE"/>
    <w:rsid w:val="00D217AA"/>
    <w:rsid w:val="00D64EEC"/>
    <w:rsid w:val="00D871B1"/>
    <w:rsid w:val="00E35F25"/>
    <w:rsid w:val="00E506A8"/>
    <w:rsid w:val="00EC4847"/>
    <w:rsid w:val="00EC7AE3"/>
    <w:rsid w:val="00F064EF"/>
    <w:rsid w:val="00F10EB6"/>
    <w:rsid w:val="00F9450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81BA64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Emphasis">
    <w:name w:val="Emphasis"/>
    <w:basedOn w:val="DefaultParagraphFont"/>
    <w:uiPriority w:val="20"/>
    <w:qFormat/>
    <w:rsid w:val="00EC4847"/>
    <w:rPr>
      <w:i/>
      <w:iCs/>
    </w:rPr>
  </w:style>
  <w:style w:type="paragraph" w:customStyle="1" w:styleId="mortaga">
    <w:name w:val="mortag_a"/>
    <w:basedOn w:val="Normal"/>
    <w:rsid w:val="00EC48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ortagm">
    <w:name w:val="mortag_m"/>
    <w:basedOn w:val="Normal"/>
    <w:rsid w:val="00EC48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reak">
    <w:name w:val="break"/>
    <w:basedOn w:val="DefaultParagraphFont"/>
    <w:rsid w:val="00EC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82</TotalTime>
  <Pages>5</Pages>
  <Words>838</Words>
  <Characters>6126</Characters>
  <Application>Microsoft Office Word</Application>
  <DocSecurity>0</DocSecurity>
  <Lines>51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Internkontrollforskriften - Etterlevelse og vurderinger - KS2017.2.1.1-03</dc:title>
  <dc:subject>Standard Bokmål|[RefNr]|</dc:subject>
  <dc:creator>Handbok</dc:creator>
  <cp:lastModifiedBy>Eirik Ørn</cp:lastModifiedBy>
  <cp:revision>5</cp:revision>
  <cp:lastPrinted>2008-01-07T10:39:00Z</cp:lastPrinted>
  <dcterms:created xsi:type="dcterms:W3CDTF">2020-07-14T08:29:00Z</dcterms:created>
  <dcterms:modified xsi:type="dcterms:W3CDTF">2025-04-10T12:02:00Z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Internkontrollforskriften - Etterlevelse og vurderinger - KS2017.2.1.1-03</vt:lpwstr>
  </property>
  <property fmtid="{D5CDD505-2E9C-101B-9397-08002B2CF9AE}" pid="4" name="EK_GjelderFra">
    <vt:lpwstr>10.04.2025</vt:lpwstr>
  </property>
  <property fmtid="{D5CDD505-2E9C-101B-9397-08002B2CF9AE}" pid="5" name="EK_RefNr">
    <vt:lpwstr>KS2017.2.1.1-03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