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2B00F36"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22B00F35" w14:textId="77777777">
            <w:pPr>
              <w:pStyle w:val="Uthev2"/>
            </w:pPr>
            <w:r>
              <w:fldChar w:fldCharType="begin" w:fldLock="1"/>
            </w:r>
            <w:r>
              <w:instrText>DOCPROPERTY EK_DokTittel</w:instrText>
            </w:r>
            <w:r>
              <w:fldChar w:fldCharType="separate"/>
            </w:r>
            <w:r>
              <w:t>Radikalisering og Voldelig Ekstremisme</w:t>
            </w:r>
            <w:r>
              <w:fldChar w:fldCharType="end"/>
            </w:r>
          </w:p>
        </w:tc>
      </w:tr>
    </w:tbl>
    <w:p w:rsidR="0052577D" w14:paraId="22B00F37" w14:textId="77777777"/>
    <w:p w:rsidR="0052577D" w14:paraId="22B00F38" w14:textId="77777777"/>
    <w:p w:rsidR="0052577D" w14:paraId="22B00F39" w14:textId="77777777">
      <w:r>
        <w:t>Formål:</w:t>
      </w:r>
    </w:p>
    <w:p w:rsidR="002B6C1C" w14:paraId="22B00F3A" w14:textId="77777777"/>
    <w:p w:rsidR="002B6C1C" w14:paraId="22B00F3B" w14:textId="36B39E56">
      <w:r>
        <w:t>Sjekklisten ses i sammenheng med VLFK sin plan mot radikalisering og voldelig ekstremisme</w:t>
      </w:r>
      <w:r>
        <w:t>. Sjekklisten er et verktøy for ansatte for å oppdage tendenser til radikalisering og voldelig ekstremisme på et tidlig nok tidspunkt, samt håndtere allerede inntrådte elementer av radikaliserin</w:t>
      </w:r>
      <w:r>
        <w:t>g og voldelig ekstremisme.</w:t>
      </w:r>
    </w:p>
    <w:p w:rsidR="002B6C1C" w14:paraId="22B00F3C" w14:textId="77777777"/>
    <w:p w:rsidR="00EC15A5" w:rsidRPr="00EC15A5" w:rsidP="00EC15A5" w14:paraId="22B00F3D" w14:textId="77777777">
      <w:pPr>
        <w:pStyle w:val="Default"/>
        <w:rPr>
          <w:rFonts w:ascii="Verdana" w:hAnsi="Verdana" w:cs="Times New Roman"/>
          <w:color w:val="auto"/>
          <w:sz w:val="20"/>
          <w:szCs w:val="20"/>
        </w:rPr>
      </w:pPr>
      <w:r w:rsidRPr="00EC15A5">
        <w:rPr>
          <w:rFonts w:ascii="Verdana" w:hAnsi="Verdana" w:cs="Times New Roman"/>
          <w:color w:val="auto"/>
          <w:sz w:val="20"/>
          <w:szCs w:val="20"/>
        </w:rPr>
        <w:t>Det er skolens ansvar å ha en sjekkliste for radikalisering og voldelig ekstremisme, men det er den enkelte ansattes ansvar å kjenne innholdet i sjekklisten, samt selv følge sjekklisten når han/hun har grunn til å tro at elever,</w:t>
      </w:r>
      <w:r w:rsidRPr="00EC15A5">
        <w:rPr>
          <w:rFonts w:ascii="Verdana" w:hAnsi="Verdana" w:cs="Times New Roman"/>
          <w:color w:val="auto"/>
          <w:sz w:val="20"/>
          <w:szCs w:val="20"/>
        </w:rPr>
        <w:t xml:space="preserve"> eller andre ansatte, er tilbøyelige til radikalisering/voldelig ekstremisme.</w:t>
      </w:r>
      <w:r w:rsidRPr="00EC15A5">
        <w:rPr>
          <w:rFonts w:ascii="Verdana" w:hAnsi="Verdana" w:cs="Times New Roman"/>
          <w:color w:val="auto"/>
          <w:sz w:val="20"/>
          <w:szCs w:val="20"/>
        </w:rPr>
        <w:br/>
      </w:r>
      <w:r w:rsidRPr="00EC15A5">
        <w:rPr>
          <w:rFonts w:ascii="Verdana" w:hAnsi="Verdana" w:cs="Times New Roman"/>
          <w:color w:val="auto"/>
          <w:sz w:val="20"/>
          <w:szCs w:val="20"/>
        </w:rPr>
        <w:br/>
        <w:t xml:space="preserve">Avvergingsplikten (strl. § 139) </w:t>
      </w:r>
    </w:p>
    <w:p w:rsidR="00EC15A5" w:rsidRPr="00EC15A5" w:rsidP="00EC15A5" w14:paraId="22B00F3E" w14:textId="77777777">
      <w:pPr>
        <w:pStyle w:val="Default"/>
        <w:rPr>
          <w:rFonts w:ascii="Verdana" w:hAnsi="Verdana" w:cs="Times New Roman"/>
          <w:color w:val="auto"/>
          <w:sz w:val="20"/>
          <w:szCs w:val="20"/>
        </w:rPr>
      </w:pPr>
    </w:p>
    <w:p w:rsidR="002B6C1C" w:rsidRPr="00EC15A5" w:rsidP="00EC15A5" w14:paraId="22B00F3F" w14:textId="77777777">
      <w:r w:rsidRPr="00EC15A5">
        <w:t>Med bot eller fengsel inntil 1 år straffes den som unnlater å anmelde til politiet eller på annen måte å søke å avverge en straffbar handling e</w:t>
      </w:r>
      <w:r w:rsidRPr="00EC15A5">
        <w:t>ller følgene av den, på et tidspunkt da dette fortsatt er mulig og det fremstår som sikkert eller mest sannsynlig at handlingen vil bli eller er begått. Avvergingsplikten gjelder uten hensyn til taushetsplikt</w:t>
      </w:r>
    </w:p>
    <w:p w:rsidR="002B6C1C" w14:paraId="22B00F40" w14:textId="77777777"/>
    <w:p w:rsidR="002B6C1C" w14:paraId="22B00F41" w14:textId="77777777">
      <w:r>
        <w:tab/>
      </w:r>
    </w:p>
    <w:tbl>
      <w:tblPr>
        <w:tblStyle w:val="TableGrid"/>
        <w:tblW w:w="0" w:type="auto"/>
        <w:tblLook w:val="04A0"/>
      </w:tblPr>
      <w:tblGrid>
        <w:gridCol w:w="1216"/>
        <w:gridCol w:w="1203"/>
        <w:gridCol w:w="1344"/>
        <w:gridCol w:w="5695"/>
      </w:tblGrid>
      <w:tr w14:paraId="22B00F46" w14:textId="77777777" w:rsidTr="00EC15A5">
        <w:tblPrEx>
          <w:tblW w:w="0" w:type="auto"/>
          <w:tblLook w:val="04A0"/>
        </w:tblPrEx>
        <w:tc>
          <w:tcPr>
            <w:tcW w:w="1186" w:type="dxa"/>
          </w:tcPr>
          <w:p w:rsidR="002B6C1C" w14:paraId="22B00F42" w14:textId="77777777">
            <w:r>
              <w:t>Situasjon</w:t>
            </w:r>
          </w:p>
        </w:tc>
        <w:tc>
          <w:tcPr>
            <w:tcW w:w="1503" w:type="dxa"/>
          </w:tcPr>
          <w:p w:rsidR="002B6C1C" w14:paraId="22B00F43" w14:textId="77777777">
            <w:r>
              <w:t>Tiltak</w:t>
            </w:r>
          </w:p>
        </w:tc>
        <w:tc>
          <w:tcPr>
            <w:tcW w:w="1241" w:type="dxa"/>
          </w:tcPr>
          <w:p w:rsidR="002B6C1C" w14:paraId="22B00F44" w14:textId="77777777">
            <w:r>
              <w:t>Ansvar</w:t>
            </w:r>
          </w:p>
        </w:tc>
        <w:tc>
          <w:tcPr>
            <w:tcW w:w="5528" w:type="dxa"/>
          </w:tcPr>
          <w:p w:rsidR="002B6C1C" w14:paraId="22B00F45" w14:textId="77777777">
            <w:r>
              <w:t>Merknader</w:t>
            </w:r>
          </w:p>
        </w:tc>
      </w:tr>
      <w:tr w14:paraId="22B00F4B" w14:textId="77777777" w:rsidTr="00EC15A5">
        <w:tblPrEx>
          <w:tblW w:w="0" w:type="auto"/>
          <w:tblLook w:val="04A0"/>
        </w:tblPrEx>
        <w:tc>
          <w:tcPr>
            <w:tcW w:w="1186" w:type="dxa"/>
          </w:tcPr>
          <w:p w:rsidR="002B6C1C" w14:paraId="22B00F47" w14:textId="77777777"/>
        </w:tc>
        <w:tc>
          <w:tcPr>
            <w:tcW w:w="1503" w:type="dxa"/>
          </w:tcPr>
          <w:p w:rsidR="002B6C1C" w14:paraId="22B00F48" w14:textId="77777777"/>
        </w:tc>
        <w:tc>
          <w:tcPr>
            <w:tcW w:w="1241" w:type="dxa"/>
          </w:tcPr>
          <w:p w:rsidR="002B6C1C" w14:paraId="22B00F49" w14:textId="77777777"/>
        </w:tc>
        <w:tc>
          <w:tcPr>
            <w:tcW w:w="5528" w:type="dxa"/>
          </w:tcPr>
          <w:p w:rsidR="002B6C1C" w14:paraId="22B00F4A" w14:textId="77777777"/>
        </w:tc>
      </w:tr>
      <w:tr w14:paraId="22B00F6B" w14:textId="77777777" w:rsidTr="00EC15A5">
        <w:tblPrEx>
          <w:tblW w:w="0" w:type="auto"/>
          <w:tblLook w:val="04A0"/>
        </w:tblPrEx>
        <w:tc>
          <w:tcPr>
            <w:tcW w:w="1186" w:type="dxa"/>
          </w:tcPr>
          <w:p w:rsidR="00EC15A5" w14:paraId="22B00F4C" w14:textId="77777777">
            <w:pPr>
              <w:rPr>
                <w:sz w:val="16"/>
                <w:szCs w:val="16"/>
              </w:rPr>
            </w:pPr>
            <w:r w:rsidRPr="002B6C1C">
              <w:rPr>
                <w:sz w:val="16"/>
                <w:szCs w:val="16"/>
              </w:rPr>
              <w:t>Elev/</w:t>
            </w:r>
          </w:p>
          <w:p w:rsidR="00EC15A5" w14:paraId="22B00F4D" w14:textId="77777777">
            <w:pPr>
              <w:rPr>
                <w:sz w:val="16"/>
                <w:szCs w:val="16"/>
              </w:rPr>
            </w:pPr>
            <w:r w:rsidRPr="002B6C1C">
              <w:rPr>
                <w:sz w:val="16"/>
                <w:szCs w:val="16"/>
              </w:rPr>
              <w:t>grupper av elever/</w:t>
            </w:r>
          </w:p>
          <w:p w:rsidR="002B6C1C" w:rsidRPr="002B6C1C" w14:paraId="22B00F4E" w14:textId="77777777">
            <w:pPr>
              <w:rPr>
                <w:sz w:val="16"/>
                <w:szCs w:val="16"/>
              </w:rPr>
            </w:pPr>
            <w:r w:rsidRPr="002B6C1C">
              <w:rPr>
                <w:sz w:val="16"/>
                <w:szCs w:val="16"/>
              </w:rPr>
              <w:t>ansatt viser adferd i tråd med eksempler under «Merknader», og/eller kommer med uttalelser i tråd med eksempler under «Merknader»</w:t>
            </w:r>
          </w:p>
        </w:tc>
        <w:tc>
          <w:tcPr>
            <w:tcW w:w="1503" w:type="dxa"/>
          </w:tcPr>
          <w:p w:rsidR="002B6C1C" w:rsidRPr="002B6C1C" w14:paraId="22B00F4F" w14:textId="77777777">
            <w:pPr>
              <w:rPr>
                <w:sz w:val="16"/>
                <w:szCs w:val="16"/>
              </w:rPr>
            </w:pPr>
            <w:r w:rsidRPr="002B6C1C">
              <w:rPr>
                <w:sz w:val="16"/>
                <w:szCs w:val="16"/>
              </w:rPr>
              <w:t>Ta bekymring</w:t>
            </w:r>
            <w:r>
              <w:rPr>
                <w:sz w:val="16"/>
                <w:szCs w:val="16"/>
              </w:rPr>
              <w:t>-</w:t>
            </w:r>
            <w:r w:rsidRPr="002B6C1C">
              <w:rPr>
                <w:sz w:val="16"/>
                <w:szCs w:val="16"/>
              </w:rPr>
              <w:t>en på alvor, og bring den videre til rektor</w:t>
            </w:r>
          </w:p>
        </w:tc>
        <w:tc>
          <w:tcPr>
            <w:tcW w:w="1241" w:type="dxa"/>
          </w:tcPr>
          <w:p w:rsidR="002B6C1C" w:rsidRPr="002B6C1C" w14:paraId="22B00F50" w14:textId="77777777">
            <w:pPr>
              <w:rPr>
                <w:sz w:val="16"/>
                <w:szCs w:val="16"/>
              </w:rPr>
            </w:pPr>
            <w:r w:rsidRPr="002B6C1C">
              <w:rPr>
                <w:sz w:val="16"/>
                <w:szCs w:val="16"/>
              </w:rPr>
              <w:t xml:space="preserve">Den </w:t>
            </w:r>
            <w:r>
              <w:rPr>
                <w:sz w:val="16"/>
                <w:szCs w:val="16"/>
              </w:rPr>
              <w:t>enkelte ansatte for videre-rapportering.</w:t>
            </w:r>
            <w:r>
              <w:rPr>
                <w:sz w:val="16"/>
                <w:szCs w:val="16"/>
              </w:rPr>
              <w:t xml:space="preserve"> Rektor for å ta rapportering videre til Ledergruppen.</w:t>
            </w:r>
            <w:r w:rsidRPr="002B6C1C">
              <w:rPr>
                <w:sz w:val="16"/>
                <w:szCs w:val="16"/>
              </w:rPr>
              <w:t xml:space="preserve"> </w:t>
            </w:r>
          </w:p>
        </w:tc>
        <w:tc>
          <w:tcPr>
            <w:tcW w:w="5528" w:type="dxa"/>
          </w:tcPr>
          <w:p w:rsidR="002B6C1C" w:rsidRPr="002B6C1C" w:rsidP="002B6C1C" w14:paraId="22B00F51"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Intoleranse for andre sine synspunkt</w:t>
            </w:r>
          </w:p>
          <w:p w:rsidR="002B6C1C" w:rsidRPr="002B6C1C" w:rsidP="002B6C1C" w14:paraId="22B00F52"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Fiendebilete – ”oss og dei”</w:t>
            </w:r>
          </w:p>
          <w:p w:rsidR="002B6C1C" w:rsidRPr="002B6C1C" w:rsidP="002B6C1C" w14:paraId="22B00F53"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Konspirasjonsteoriar</w:t>
            </w:r>
          </w:p>
          <w:p w:rsidR="002B6C1C" w:rsidRPr="002B6C1C" w:rsidP="002B6C1C" w14:paraId="22B00F54"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Hatretorikk</w:t>
            </w:r>
          </w:p>
          <w:p w:rsidR="002B6C1C" w:rsidRPr="002B6C1C" w:rsidP="002B6C1C" w14:paraId="22B00F55"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Sympati for absolutte løysingar som avskaffing av</w:t>
            </w:r>
          </w:p>
          <w:p w:rsidR="002B6C1C" w:rsidRPr="002B6C1C" w:rsidP="002B6C1C" w14:paraId="22B00F56"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demokrati o.l.</w:t>
            </w:r>
          </w:p>
          <w:p w:rsidR="002B6C1C" w:rsidRPr="002B6C1C" w:rsidP="002B6C1C" w14:paraId="22B00F57"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Legitimerer vald</w:t>
            </w:r>
          </w:p>
          <w:p w:rsidR="002B6C1C" w:rsidRPr="002B6C1C" w:rsidP="002B6C1C" w14:paraId="22B00F58" w14:textId="77777777">
            <w:pPr>
              <w:rPr>
                <w:rFonts w:ascii="IngraCd-Light" w:hAnsi="IngraCd-Light" w:cs="IngraCd-Light"/>
                <w:sz w:val="16"/>
                <w:szCs w:val="16"/>
              </w:rPr>
            </w:pPr>
            <w:r w:rsidRPr="002B6C1C">
              <w:rPr>
                <w:rFonts w:ascii="IngraCd-Light" w:hAnsi="IngraCd-Light" w:cs="IngraCd-Light"/>
                <w:sz w:val="16"/>
                <w:szCs w:val="16"/>
              </w:rPr>
              <w:t xml:space="preserve">• </w:t>
            </w:r>
            <w:r w:rsidRPr="002B6C1C">
              <w:rPr>
                <w:rFonts w:ascii="IngraCd-Light" w:hAnsi="IngraCd-Light" w:cs="IngraCd-Light"/>
                <w:sz w:val="16"/>
                <w:szCs w:val="16"/>
              </w:rPr>
              <w:t>Trugslar om vald for å nå politiske mål</w:t>
            </w:r>
          </w:p>
          <w:p w:rsidR="002B6C1C" w:rsidRPr="002B6C1C" w:rsidP="002B6C1C" w14:paraId="22B00F59"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Appellerer til og søkjer etter ekstremistisk materiale</w:t>
            </w:r>
          </w:p>
          <w:p w:rsidR="002B6C1C" w:rsidRPr="002B6C1C" w:rsidP="002B6C1C" w14:paraId="22B00F5A"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på internett</w:t>
            </w:r>
          </w:p>
          <w:p w:rsidR="002B6C1C" w:rsidRPr="002B6C1C" w:rsidP="002B6C1C" w14:paraId="22B00F5B"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Åtferdsendring: Endrar utsjånad, klesdrakt, oppførsel osv.</w:t>
            </w:r>
          </w:p>
          <w:p w:rsidR="002B6C1C" w:rsidRPr="002B6C1C" w:rsidP="002B6C1C" w14:paraId="22B00F5C"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Nyttar symbol knytt til ekstremistiske ideal og/eller</w:t>
            </w:r>
          </w:p>
          <w:p w:rsidR="002B6C1C" w:rsidRPr="002B6C1C" w:rsidP="002B6C1C" w14:paraId="22B00F5D"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organisasjonar</w:t>
            </w:r>
          </w:p>
          <w:p w:rsidR="00685CF9" w:rsidP="002B6C1C" w14:paraId="22B00F5E"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Sluttar på s</w:t>
            </w:r>
            <w:r w:rsidRPr="002B6C1C">
              <w:rPr>
                <w:rFonts w:ascii="IngraCd-Light" w:hAnsi="IngraCd-Light" w:cs="IngraCd-Light"/>
                <w:sz w:val="16"/>
                <w:szCs w:val="16"/>
              </w:rPr>
              <w:t xml:space="preserve">kule/arbeid/fritidsaktiviteter m.m. </w:t>
            </w:r>
          </w:p>
          <w:p w:rsidR="002B6C1C" w:rsidRPr="002B6C1C" w:rsidP="002B6C1C" w14:paraId="22B00F5F"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Opptatt av ekstremisme på internett og sosiale media</w:t>
            </w:r>
          </w:p>
          <w:p w:rsidR="002B6C1C" w:rsidRPr="002B6C1C" w:rsidP="002B6C1C" w14:paraId="22B00F60"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Deltek på demonstrasjonar og valdelege samanstøytar</w:t>
            </w:r>
          </w:p>
          <w:p w:rsidR="002B6C1C" w:rsidRPr="002B6C1C" w:rsidP="002B6C1C" w14:paraId="22B00F61"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med andre grupper</w:t>
            </w:r>
          </w:p>
          <w:p w:rsidR="002B6C1C" w:rsidRPr="002B6C1C" w:rsidP="002B6C1C" w14:paraId="22B00F62"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Bruker trugslar og vald som følge av ekstremisme</w:t>
            </w:r>
          </w:p>
          <w:p w:rsidR="002B6C1C" w:rsidRPr="002B6C1C" w:rsidP="002B6C1C" w14:paraId="22B00F63"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Hatkriminalitet</w:t>
            </w:r>
          </w:p>
          <w:p w:rsidR="002B6C1C" w:rsidRPr="002B6C1C" w:rsidP="002B6C1C" w14:paraId="22B00F64"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Reiseverksemd som kan</w:t>
            </w:r>
            <w:r w:rsidRPr="002B6C1C">
              <w:rPr>
                <w:rFonts w:ascii="IngraCd-Light" w:hAnsi="IngraCd-Light" w:cs="IngraCd-Light"/>
                <w:sz w:val="16"/>
                <w:szCs w:val="16"/>
              </w:rPr>
              <w:t xml:space="preserve"> føra til auka radikalisering og</w:t>
            </w:r>
          </w:p>
          <w:p w:rsidR="002B6C1C" w:rsidRPr="002B6C1C" w:rsidP="002B6C1C" w14:paraId="22B00F65" w14:textId="77777777">
            <w:pPr>
              <w:rPr>
                <w:rFonts w:ascii="IngraCd-Light" w:hAnsi="IngraCd-Light" w:cs="IngraCd-Light"/>
                <w:sz w:val="16"/>
                <w:szCs w:val="16"/>
              </w:rPr>
            </w:pPr>
            <w:r w:rsidRPr="002B6C1C">
              <w:rPr>
                <w:rFonts w:ascii="IngraCd-Light" w:hAnsi="IngraCd-Light" w:cs="IngraCd-Light"/>
                <w:sz w:val="16"/>
                <w:szCs w:val="16"/>
              </w:rPr>
              <w:t>kontakt med ekstremistar</w:t>
            </w:r>
          </w:p>
          <w:p w:rsidR="002B6C1C" w:rsidRPr="002B6C1C" w:rsidP="002B6C1C" w14:paraId="22B00F66"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Endrar nettverk/omgangskrets</w:t>
            </w:r>
          </w:p>
          <w:p w:rsidR="002B6C1C" w:rsidRPr="002B6C1C" w:rsidP="002B6C1C" w14:paraId="22B00F67"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Omgås personar/grupper som er kjende for ekstremisme</w:t>
            </w:r>
          </w:p>
          <w:p w:rsidR="002B6C1C" w:rsidRPr="002B6C1C" w:rsidP="002B6C1C" w14:paraId="22B00F68"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Omgås grupper som utøver vald/trugslar/annan kriminell</w:t>
            </w:r>
          </w:p>
          <w:p w:rsidR="002B6C1C" w:rsidRPr="002B6C1C" w:rsidP="002B6C1C" w14:paraId="22B00F69"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verksemd</w:t>
            </w:r>
          </w:p>
          <w:p w:rsidR="002B6C1C" w:rsidRPr="002B6C1C" w:rsidP="002B6C1C" w14:paraId="22B00F6A" w14:textId="77777777">
            <w:pPr>
              <w:rPr>
                <w:sz w:val="16"/>
                <w:szCs w:val="16"/>
              </w:rPr>
            </w:pPr>
            <w:r w:rsidRPr="002B6C1C">
              <w:rPr>
                <w:rFonts w:ascii="IngraCd-Light" w:hAnsi="IngraCd-Light" w:cs="IngraCd-Light"/>
                <w:sz w:val="16"/>
                <w:szCs w:val="16"/>
              </w:rPr>
              <w:t>• Medlem i ekstremistiske grupper/nettverk/org</w:t>
            </w:r>
            <w:r w:rsidRPr="002B6C1C">
              <w:rPr>
                <w:rFonts w:ascii="IngraCd-Light" w:hAnsi="IngraCd-Light" w:cs="IngraCd-Light"/>
                <w:sz w:val="16"/>
                <w:szCs w:val="16"/>
              </w:rPr>
              <w:t>anisasjonar</w:t>
            </w:r>
          </w:p>
        </w:tc>
      </w:tr>
      <w:tr w14:paraId="22B00F7D" w14:textId="77777777" w:rsidTr="00EC15A5">
        <w:tblPrEx>
          <w:tblW w:w="0" w:type="auto"/>
          <w:tblLook w:val="04A0"/>
        </w:tblPrEx>
        <w:tc>
          <w:tcPr>
            <w:tcW w:w="1186" w:type="dxa"/>
          </w:tcPr>
          <w:p w:rsidR="002B6C1C" w:rsidRPr="00685CF9" w14:paraId="22B00F6C" w14:textId="77777777">
            <w:pPr>
              <w:rPr>
                <w:sz w:val="16"/>
                <w:szCs w:val="16"/>
              </w:rPr>
            </w:pPr>
          </w:p>
        </w:tc>
        <w:tc>
          <w:tcPr>
            <w:tcW w:w="1503" w:type="dxa"/>
          </w:tcPr>
          <w:p w:rsidR="002B6C1C" w:rsidRPr="00685CF9" w14:paraId="22B00F6D" w14:textId="77777777">
            <w:pPr>
              <w:rPr>
                <w:sz w:val="16"/>
                <w:szCs w:val="16"/>
              </w:rPr>
            </w:pPr>
            <w:r w:rsidRPr="00685CF9">
              <w:rPr>
                <w:sz w:val="16"/>
                <w:szCs w:val="16"/>
              </w:rPr>
              <w:t xml:space="preserve">Drøft </w:t>
            </w:r>
            <w:r>
              <w:rPr>
                <w:sz w:val="16"/>
                <w:szCs w:val="16"/>
              </w:rPr>
              <w:t>bekymring-en i Leder-gruppen</w:t>
            </w:r>
          </w:p>
        </w:tc>
        <w:tc>
          <w:tcPr>
            <w:tcW w:w="1241" w:type="dxa"/>
          </w:tcPr>
          <w:p w:rsidR="002B6C1C" w:rsidRPr="00685CF9" w14:paraId="22B00F6E" w14:textId="77777777">
            <w:pPr>
              <w:rPr>
                <w:sz w:val="16"/>
                <w:szCs w:val="16"/>
              </w:rPr>
            </w:pPr>
            <w:r>
              <w:rPr>
                <w:sz w:val="16"/>
                <w:szCs w:val="16"/>
              </w:rPr>
              <w:t>Ledergruppen</w:t>
            </w:r>
          </w:p>
        </w:tc>
        <w:tc>
          <w:tcPr>
            <w:tcW w:w="5528" w:type="dxa"/>
          </w:tcPr>
          <w:p w:rsidR="00EC15A5" w14:paraId="22B00F6F" w14:textId="77777777">
            <w:pPr>
              <w:rPr>
                <w:sz w:val="16"/>
                <w:szCs w:val="16"/>
              </w:rPr>
            </w:pPr>
            <w:r w:rsidRPr="00ED70D0">
              <w:rPr>
                <w:sz w:val="16"/>
                <w:szCs w:val="16"/>
              </w:rPr>
              <w:t>Bekymringen drøftes, og Ledergruppen blir enig om tiltak.</w:t>
            </w:r>
          </w:p>
          <w:p w:rsidR="002B6C1C" w:rsidRPr="00ED70D0" w14:paraId="22B00F70" w14:textId="77777777">
            <w:pPr>
              <w:rPr>
                <w:sz w:val="16"/>
                <w:szCs w:val="16"/>
              </w:rPr>
            </w:pPr>
            <w:r w:rsidRPr="00ED70D0">
              <w:rPr>
                <w:sz w:val="16"/>
                <w:szCs w:val="16"/>
              </w:rPr>
              <w:t>Tiltak skal ta sikte både på å hindre eskalering av radikalisering/ekstremisme hos den enkelte elev/elevgruppe/ansatte, men også hindre negative konsekvenser for andre personer ved skolen (elever/ansatte)</w:t>
            </w:r>
          </w:p>
          <w:p w:rsidR="00685CF9" w:rsidRPr="00ED70D0" w14:paraId="22B00F71" w14:textId="77777777">
            <w:pPr>
              <w:rPr>
                <w:sz w:val="16"/>
                <w:szCs w:val="16"/>
              </w:rPr>
            </w:pPr>
          </w:p>
          <w:p w:rsidR="00685CF9" w:rsidRPr="00ED70D0" w14:paraId="22B00F72" w14:textId="77777777">
            <w:pPr>
              <w:rPr>
                <w:sz w:val="16"/>
                <w:szCs w:val="16"/>
              </w:rPr>
            </w:pPr>
            <w:r w:rsidRPr="00ED70D0">
              <w:rPr>
                <w:sz w:val="16"/>
                <w:szCs w:val="16"/>
              </w:rPr>
              <w:t xml:space="preserve">Følgende kan være behjelpelige i </w:t>
            </w:r>
            <w:r w:rsidRPr="00ED70D0">
              <w:rPr>
                <w:sz w:val="16"/>
                <w:szCs w:val="16"/>
              </w:rPr>
              <w:t>situasjonen:</w:t>
            </w:r>
          </w:p>
          <w:p w:rsidR="00685CF9" w:rsidRPr="00ED70D0" w14:paraId="22B00F73" w14:textId="77777777">
            <w:pPr>
              <w:rPr>
                <w:sz w:val="16"/>
                <w:szCs w:val="16"/>
              </w:rPr>
            </w:pPr>
          </w:p>
          <w:p w:rsidR="00685CF9" w:rsidRPr="00EC15A5" w:rsidP="00685CF9" w14:paraId="22B00F74" w14:textId="77777777">
            <w:pPr>
              <w:numPr>
                <w:ilvl w:val="12"/>
                <w:numId w:val="0"/>
              </w:numPr>
              <w:spacing w:before="120"/>
              <w:rPr>
                <w:sz w:val="16"/>
                <w:szCs w:val="16"/>
              </w:rPr>
            </w:pPr>
            <w:r w:rsidRPr="00EC15A5">
              <w:rPr>
                <w:sz w:val="16"/>
                <w:szCs w:val="16"/>
              </w:rPr>
              <w:t>Politiet ved radikaliserings-koordinator 405 55 318 (kl. 07.30–15.30) til en uformell samtale.</w:t>
            </w:r>
          </w:p>
          <w:p w:rsidR="00EC15A5" w:rsidRPr="00EC15A5" w:rsidP="00EC15A5" w14:paraId="22B00F75" w14:textId="77777777">
            <w:pPr>
              <w:numPr>
                <w:ilvl w:val="12"/>
                <w:numId w:val="0"/>
              </w:numPr>
              <w:spacing w:before="120"/>
              <w:rPr>
                <w:sz w:val="16"/>
                <w:szCs w:val="16"/>
              </w:rPr>
            </w:pPr>
            <w:r w:rsidRPr="00EC15A5">
              <w:rPr>
                <w:sz w:val="16"/>
                <w:szCs w:val="16"/>
              </w:rPr>
              <w:t>Vest politidistrikt 55 55 63 00</w:t>
            </w:r>
          </w:p>
          <w:p w:rsidR="00EC15A5" w:rsidRPr="00EC15A5" w:rsidP="00EC15A5" w14:paraId="22B00F76" w14:textId="77777777">
            <w:pPr>
              <w:numPr>
                <w:ilvl w:val="12"/>
                <w:numId w:val="0"/>
              </w:numPr>
              <w:spacing w:before="120"/>
              <w:rPr>
                <w:sz w:val="16"/>
                <w:szCs w:val="16"/>
              </w:rPr>
            </w:pPr>
            <w:r w:rsidRPr="00EC15A5">
              <w:rPr>
                <w:sz w:val="16"/>
                <w:szCs w:val="16"/>
              </w:rPr>
              <w:t>post.vest@politiet.no</w:t>
            </w:r>
          </w:p>
          <w:p w:rsidR="00685CF9" w:rsidP="00685CF9" w14:paraId="22B00F77" w14:textId="77777777">
            <w:pPr>
              <w:numPr>
                <w:ilvl w:val="12"/>
                <w:numId w:val="0"/>
              </w:numPr>
              <w:spacing w:before="120"/>
              <w:rPr>
                <w:rFonts w:cs="Arial"/>
                <w:sz w:val="16"/>
                <w:szCs w:val="16"/>
              </w:rPr>
            </w:pPr>
            <w:r w:rsidRPr="00ED70D0">
              <w:rPr>
                <w:rFonts w:cs="Arial"/>
                <w:sz w:val="16"/>
                <w:szCs w:val="16"/>
              </w:rPr>
              <w:t>PST, politiets sikkerhetstjeneste 900 21 757 (heile døgnet)</w:t>
            </w:r>
          </w:p>
          <w:p w:rsidR="00EC15A5" w:rsidRPr="00ED70D0" w:rsidP="00685CF9" w14:paraId="22B00F78" w14:textId="77777777">
            <w:pPr>
              <w:numPr>
                <w:ilvl w:val="12"/>
                <w:numId w:val="0"/>
              </w:numPr>
              <w:spacing w:before="120"/>
              <w:rPr>
                <w:rFonts w:cs="Arial"/>
                <w:sz w:val="16"/>
                <w:szCs w:val="16"/>
              </w:rPr>
            </w:pPr>
            <w:r w:rsidRPr="00EC15A5">
              <w:rPr>
                <w:rFonts w:cs="Arial"/>
                <w:sz w:val="16"/>
                <w:szCs w:val="16"/>
              </w:rPr>
              <w:t>post@pst.politiet.no</w:t>
            </w:r>
          </w:p>
          <w:p w:rsidR="00685CF9" w:rsidP="00685CF9" w14:paraId="22B00F79" w14:textId="77777777">
            <w:pPr>
              <w:numPr>
                <w:ilvl w:val="12"/>
                <w:numId w:val="0"/>
              </w:numPr>
              <w:spacing w:before="120"/>
              <w:rPr>
                <w:rFonts w:cs="Arial"/>
                <w:sz w:val="16"/>
                <w:szCs w:val="16"/>
              </w:rPr>
            </w:pPr>
            <w:r w:rsidRPr="00ED70D0">
              <w:rPr>
                <w:rFonts w:cs="Arial"/>
                <w:sz w:val="16"/>
                <w:szCs w:val="16"/>
              </w:rPr>
              <w:t>Alarmtelefon</w:t>
            </w:r>
            <w:r w:rsidRPr="00ED70D0">
              <w:rPr>
                <w:rFonts w:cs="Arial"/>
                <w:sz w:val="16"/>
                <w:szCs w:val="16"/>
              </w:rPr>
              <w:t xml:space="preserve"> for barn og unge 116 111 (gratis, heile døgnet)</w:t>
            </w:r>
          </w:p>
          <w:p w:rsidR="00EC15A5" w:rsidRPr="00ED70D0" w:rsidP="00EC15A5" w14:paraId="22B00F7A" w14:textId="77777777">
            <w:pPr>
              <w:numPr>
                <w:ilvl w:val="12"/>
                <w:numId w:val="0"/>
              </w:numPr>
              <w:spacing w:before="120"/>
              <w:rPr>
                <w:rFonts w:cs="Arial"/>
                <w:sz w:val="16"/>
                <w:szCs w:val="16"/>
              </w:rPr>
            </w:pPr>
            <w:r w:rsidRPr="00ED70D0">
              <w:rPr>
                <w:rFonts w:cs="Arial"/>
                <w:sz w:val="16"/>
                <w:szCs w:val="16"/>
              </w:rPr>
              <w:t>Barnevernstenesta i aktuell kommune (sjå kommunen si heimeside)</w:t>
            </w:r>
          </w:p>
          <w:p w:rsidR="00EC15A5" w:rsidRPr="00ED70D0" w:rsidP="00685CF9" w14:paraId="22B00F7B" w14:textId="77777777">
            <w:pPr>
              <w:numPr>
                <w:ilvl w:val="12"/>
                <w:numId w:val="0"/>
              </w:numPr>
              <w:spacing w:before="120"/>
              <w:rPr>
                <w:rFonts w:cs="Arial"/>
                <w:sz w:val="16"/>
                <w:szCs w:val="16"/>
              </w:rPr>
            </w:pPr>
          </w:p>
          <w:p w:rsidR="00685CF9" w:rsidRPr="00ED70D0" w14:paraId="22B00F7C" w14:textId="77777777">
            <w:pPr>
              <w:rPr>
                <w:sz w:val="16"/>
                <w:szCs w:val="16"/>
              </w:rPr>
            </w:pPr>
          </w:p>
        </w:tc>
      </w:tr>
      <w:tr w14:paraId="22B00F85" w14:textId="77777777" w:rsidTr="00EC15A5">
        <w:tblPrEx>
          <w:tblW w:w="0" w:type="auto"/>
          <w:tblLook w:val="04A0"/>
        </w:tblPrEx>
        <w:tc>
          <w:tcPr>
            <w:tcW w:w="1186" w:type="dxa"/>
          </w:tcPr>
          <w:p w:rsidR="002B6C1C" w:rsidRPr="00685CF9" w14:paraId="22B00F7E" w14:textId="77777777">
            <w:pPr>
              <w:rPr>
                <w:sz w:val="16"/>
                <w:szCs w:val="16"/>
              </w:rPr>
            </w:pPr>
          </w:p>
        </w:tc>
        <w:tc>
          <w:tcPr>
            <w:tcW w:w="1503" w:type="dxa"/>
          </w:tcPr>
          <w:p w:rsidR="002B6C1C" w:rsidRPr="00685CF9" w14:paraId="22B00F7F" w14:textId="77777777">
            <w:pPr>
              <w:rPr>
                <w:sz w:val="16"/>
                <w:szCs w:val="16"/>
              </w:rPr>
            </w:pPr>
            <w:r>
              <w:rPr>
                <w:sz w:val="16"/>
                <w:szCs w:val="16"/>
              </w:rPr>
              <w:t>Gå i dialog med eleven</w:t>
            </w:r>
          </w:p>
        </w:tc>
        <w:tc>
          <w:tcPr>
            <w:tcW w:w="1241" w:type="dxa"/>
          </w:tcPr>
          <w:p w:rsidR="002B6C1C" w:rsidRPr="00685CF9" w14:paraId="22B00F80" w14:textId="77777777">
            <w:pPr>
              <w:rPr>
                <w:sz w:val="16"/>
                <w:szCs w:val="16"/>
              </w:rPr>
            </w:pPr>
            <w:r>
              <w:rPr>
                <w:sz w:val="16"/>
                <w:szCs w:val="16"/>
              </w:rPr>
              <w:t>Rektor bestemmer hvilke personer/etater som går i dialog med eleven</w:t>
            </w:r>
          </w:p>
        </w:tc>
        <w:tc>
          <w:tcPr>
            <w:tcW w:w="5528" w:type="dxa"/>
          </w:tcPr>
          <w:p w:rsidR="002B6C1C" w:rsidRPr="00ED70D0" w14:paraId="22B00F81" w14:textId="77777777">
            <w:pPr>
              <w:rPr>
                <w:sz w:val="16"/>
                <w:szCs w:val="16"/>
              </w:rPr>
            </w:pPr>
            <w:r w:rsidRPr="00ED70D0">
              <w:rPr>
                <w:sz w:val="16"/>
                <w:szCs w:val="16"/>
              </w:rPr>
              <w:t>Dialogen, avhengig av hvor lang</w:t>
            </w:r>
            <w:r>
              <w:rPr>
                <w:sz w:val="16"/>
                <w:szCs w:val="16"/>
              </w:rPr>
              <w:t>t</w:t>
            </w:r>
            <w:r w:rsidRPr="00ED70D0">
              <w:rPr>
                <w:sz w:val="16"/>
                <w:szCs w:val="16"/>
              </w:rPr>
              <w:t xml:space="preserve"> elev/elevgruppe/ansatt har kommet i radikaliseringsprosessen, kan startes ved hjelp av lærer, avdelingsleder, ledergruppe, helsesøster, rådgiver, eller annen person som eleven/elevgruppen/den ansatte har god kontakt med. Det er viktig at innledende dialog</w:t>
            </w:r>
            <w:r w:rsidRPr="00ED70D0">
              <w:rPr>
                <w:sz w:val="16"/>
                <w:szCs w:val="16"/>
              </w:rPr>
              <w:t xml:space="preserve"> er preget av god tone og fornuftig dialog, spesielt i tilfeller hvor man er usikker på hvor langt radikaliseringsprosessen har kommet, eller man vet at radikaliseringsprosessen har kommet langt. </w:t>
            </w:r>
            <w:r w:rsidRPr="00ED70D0">
              <w:rPr>
                <w:sz w:val="16"/>
                <w:szCs w:val="16"/>
              </w:rPr>
              <w:br/>
            </w:r>
            <w:r w:rsidRPr="00ED70D0">
              <w:rPr>
                <w:sz w:val="16"/>
                <w:szCs w:val="16"/>
              </w:rPr>
              <w:br/>
              <w:t>Følgende gjennomgås før samtale initieres:</w:t>
            </w:r>
          </w:p>
          <w:p w:rsidR="00685CF9" w:rsidRPr="00ED70D0" w14:paraId="22B00F82" w14:textId="77777777">
            <w:pPr>
              <w:rPr>
                <w:sz w:val="16"/>
                <w:szCs w:val="16"/>
              </w:rPr>
            </w:pPr>
          </w:p>
          <w:p w:rsidR="00685CF9" w:rsidRPr="00ED70D0" w14:paraId="22B00F83" w14:textId="77777777">
            <w:pPr>
              <w:rPr>
                <w:sz w:val="16"/>
                <w:szCs w:val="16"/>
              </w:rPr>
            </w:pPr>
            <w:r w:rsidRPr="00ED70D0">
              <w:rPr>
                <w:sz w:val="16"/>
                <w:szCs w:val="16"/>
              </w:rPr>
              <w:t>https://www.re</w:t>
            </w:r>
            <w:r w:rsidRPr="00ED70D0">
              <w:rPr>
                <w:sz w:val="16"/>
                <w:szCs w:val="16"/>
              </w:rPr>
              <w:t>gjeringen.no/no/sub/radikalisering/veileder/samtaleverktoy-hvordan-ga-i-dialog/id2398410/</w:t>
            </w:r>
          </w:p>
          <w:p w:rsidR="00685CF9" w:rsidRPr="00ED70D0" w14:paraId="22B00F84" w14:textId="77777777">
            <w:pPr>
              <w:rPr>
                <w:sz w:val="16"/>
                <w:szCs w:val="16"/>
              </w:rPr>
            </w:pPr>
          </w:p>
        </w:tc>
      </w:tr>
      <w:tr w14:paraId="22B00F94" w14:textId="77777777" w:rsidTr="00EC15A5">
        <w:tblPrEx>
          <w:tblW w:w="0" w:type="auto"/>
          <w:tblLook w:val="04A0"/>
        </w:tblPrEx>
        <w:tc>
          <w:tcPr>
            <w:tcW w:w="1186" w:type="dxa"/>
          </w:tcPr>
          <w:p w:rsidR="002B6C1C" w:rsidRPr="00685CF9" w14:paraId="22B00F86" w14:textId="77777777">
            <w:pPr>
              <w:rPr>
                <w:sz w:val="16"/>
                <w:szCs w:val="16"/>
              </w:rPr>
            </w:pPr>
          </w:p>
        </w:tc>
        <w:tc>
          <w:tcPr>
            <w:tcW w:w="1503" w:type="dxa"/>
          </w:tcPr>
          <w:p w:rsidR="002B6C1C" w:rsidRPr="00685CF9" w14:paraId="22B00F87" w14:textId="77777777">
            <w:pPr>
              <w:rPr>
                <w:sz w:val="16"/>
                <w:szCs w:val="16"/>
              </w:rPr>
            </w:pPr>
            <w:r>
              <w:rPr>
                <w:sz w:val="16"/>
                <w:szCs w:val="16"/>
              </w:rPr>
              <w:t>Vurdér om bekymring-en må meldes videre</w:t>
            </w:r>
          </w:p>
        </w:tc>
        <w:tc>
          <w:tcPr>
            <w:tcW w:w="1241" w:type="dxa"/>
          </w:tcPr>
          <w:p w:rsidR="002B6C1C" w:rsidRPr="00685CF9" w14:paraId="22B00F88" w14:textId="77777777">
            <w:pPr>
              <w:rPr>
                <w:sz w:val="16"/>
                <w:szCs w:val="16"/>
              </w:rPr>
            </w:pPr>
            <w:r>
              <w:rPr>
                <w:sz w:val="16"/>
                <w:szCs w:val="16"/>
              </w:rPr>
              <w:t>Rektor, og den person som har gjennomført samtalen fra punktet over</w:t>
            </w:r>
          </w:p>
        </w:tc>
        <w:tc>
          <w:tcPr>
            <w:tcW w:w="5528" w:type="dxa"/>
          </w:tcPr>
          <w:p w:rsidR="00ED70D0" w:rsidRPr="00EC15A5" w:rsidP="00ED70D0" w14:paraId="22B00F89" w14:textId="77777777">
            <w:pPr>
              <w:numPr>
                <w:ilvl w:val="12"/>
                <w:numId w:val="0"/>
              </w:numPr>
              <w:spacing w:before="120"/>
              <w:rPr>
                <w:sz w:val="16"/>
                <w:szCs w:val="16"/>
              </w:rPr>
            </w:pPr>
            <w:r w:rsidRPr="00EC15A5">
              <w:rPr>
                <w:sz w:val="16"/>
                <w:szCs w:val="16"/>
              </w:rPr>
              <w:t>Avvergingsplikta §139</w:t>
            </w:r>
          </w:p>
          <w:p w:rsidR="00ED70D0" w:rsidRPr="00EC15A5" w:rsidP="00ED70D0" w14:paraId="22B00F8A" w14:textId="77777777">
            <w:pPr>
              <w:numPr>
                <w:ilvl w:val="12"/>
                <w:numId w:val="0"/>
              </w:numPr>
              <w:spacing w:before="120"/>
              <w:rPr>
                <w:sz w:val="16"/>
                <w:szCs w:val="16"/>
              </w:rPr>
            </w:pPr>
            <w:r w:rsidRPr="00EC15A5">
              <w:rPr>
                <w:sz w:val="16"/>
                <w:szCs w:val="16"/>
              </w:rPr>
              <w:t>Denne vurderinga kan gjerast sama</w:t>
            </w:r>
            <w:r w:rsidRPr="00EC15A5">
              <w:rPr>
                <w:sz w:val="16"/>
                <w:szCs w:val="16"/>
              </w:rPr>
              <w:t xml:space="preserve">n med </w:t>
            </w:r>
          </w:p>
          <w:p w:rsidR="00ED70D0" w:rsidRPr="00EC15A5" w:rsidP="00ED70D0" w14:paraId="22B00F8B" w14:textId="77777777">
            <w:pPr>
              <w:numPr>
                <w:ilvl w:val="12"/>
                <w:numId w:val="0"/>
              </w:numPr>
              <w:spacing w:before="120"/>
              <w:rPr>
                <w:sz w:val="16"/>
                <w:szCs w:val="16"/>
              </w:rPr>
            </w:pPr>
            <w:r w:rsidRPr="00EC15A5">
              <w:rPr>
                <w:sz w:val="16"/>
                <w:szCs w:val="16"/>
              </w:rPr>
              <w:t xml:space="preserve">Politiet ved radikaliserings-koordinator 405 55 318 (kl. 07.30–15.30) </w:t>
            </w:r>
          </w:p>
          <w:p w:rsidR="00ED70D0" w:rsidRPr="00EC15A5" w:rsidP="00ED70D0" w14:paraId="22B00F8C" w14:textId="77777777">
            <w:pPr>
              <w:numPr>
                <w:ilvl w:val="12"/>
                <w:numId w:val="0"/>
              </w:numPr>
              <w:spacing w:before="120"/>
              <w:rPr>
                <w:sz w:val="16"/>
                <w:szCs w:val="16"/>
              </w:rPr>
            </w:pPr>
            <w:r w:rsidRPr="00EC15A5">
              <w:rPr>
                <w:sz w:val="16"/>
                <w:szCs w:val="16"/>
              </w:rPr>
              <w:t>02800 (</w:t>
            </w:r>
            <w:r>
              <w:rPr>
                <w:sz w:val="16"/>
                <w:szCs w:val="16"/>
              </w:rPr>
              <w:t xml:space="preserve">Politiet - </w:t>
            </w:r>
            <w:r w:rsidRPr="00EC15A5">
              <w:rPr>
                <w:sz w:val="16"/>
                <w:szCs w:val="16"/>
              </w:rPr>
              <w:t>heile døgnet)</w:t>
            </w:r>
          </w:p>
          <w:p w:rsidR="00EC15A5" w:rsidRPr="00EC15A5" w:rsidP="00EC15A5" w14:paraId="22B00F8D" w14:textId="77777777">
            <w:pPr>
              <w:numPr>
                <w:ilvl w:val="12"/>
                <w:numId w:val="0"/>
              </w:numPr>
              <w:spacing w:before="120"/>
              <w:rPr>
                <w:sz w:val="16"/>
                <w:szCs w:val="16"/>
              </w:rPr>
            </w:pPr>
            <w:r w:rsidRPr="00EC15A5">
              <w:rPr>
                <w:sz w:val="16"/>
                <w:szCs w:val="16"/>
              </w:rPr>
              <w:t>Vest politidistrikt 55 55 63 00</w:t>
            </w:r>
          </w:p>
          <w:p w:rsidR="00EC15A5" w:rsidRPr="00EC15A5" w:rsidP="00EC15A5" w14:paraId="22B00F8E" w14:textId="77777777">
            <w:pPr>
              <w:numPr>
                <w:ilvl w:val="12"/>
                <w:numId w:val="0"/>
              </w:numPr>
              <w:spacing w:before="120"/>
              <w:rPr>
                <w:sz w:val="16"/>
                <w:szCs w:val="16"/>
              </w:rPr>
            </w:pPr>
            <w:r w:rsidRPr="00EC15A5">
              <w:rPr>
                <w:sz w:val="16"/>
                <w:szCs w:val="16"/>
              </w:rPr>
              <w:t>post.vest@politiet.no</w:t>
            </w:r>
          </w:p>
          <w:p w:rsidR="00EC15A5" w:rsidP="00EC15A5" w14:paraId="22B00F8F" w14:textId="77777777">
            <w:pPr>
              <w:numPr>
                <w:ilvl w:val="12"/>
                <w:numId w:val="0"/>
              </w:numPr>
              <w:spacing w:before="120"/>
              <w:rPr>
                <w:rFonts w:cs="Arial"/>
                <w:sz w:val="16"/>
                <w:szCs w:val="16"/>
              </w:rPr>
            </w:pPr>
            <w:r w:rsidRPr="00ED70D0">
              <w:rPr>
                <w:rFonts w:cs="Arial"/>
                <w:sz w:val="16"/>
                <w:szCs w:val="16"/>
              </w:rPr>
              <w:t>PST, politiets sikkerhetstjeneste 900 21 757 (heile døgnet)</w:t>
            </w:r>
          </w:p>
          <w:p w:rsidR="00EC15A5" w:rsidRPr="00ED70D0" w:rsidP="00EC15A5" w14:paraId="22B00F90" w14:textId="77777777">
            <w:pPr>
              <w:numPr>
                <w:ilvl w:val="12"/>
                <w:numId w:val="0"/>
              </w:numPr>
              <w:spacing w:before="120"/>
              <w:rPr>
                <w:rFonts w:cs="Arial"/>
                <w:sz w:val="16"/>
                <w:szCs w:val="16"/>
              </w:rPr>
            </w:pPr>
            <w:r w:rsidRPr="00EC15A5">
              <w:rPr>
                <w:rFonts w:cs="Arial"/>
                <w:sz w:val="16"/>
                <w:szCs w:val="16"/>
              </w:rPr>
              <w:t>post@pst.politiet.no</w:t>
            </w:r>
          </w:p>
          <w:p w:rsidR="00EC15A5" w:rsidRPr="00ED70D0" w:rsidP="00EC15A5" w14:paraId="22B00F91" w14:textId="77777777">
            <w:pPr>
              <w:numPr>
                <w:ilvl w:val="12"/>
                <w:numId w:val="0"/>
              </w:numPr>
              <w:spacing w:before="120"/>
              <w:rPr>
                <w:rFonts w:cs="Arial"/>
                <w:sz w:val="16"/>
                <w:szCs w:val="16"/>
              </w:rPr>
            </w:pPr>
            <w:r w:rsidRPr="00ED70D0">
              <w:rPr>
                <w:rFonts w:cs="Arial"/>
                <w:sz w:val="16"/>
                <w:szCs w:val="16"/>
              </w:rPr>
              <w:t>Barnevernstenesta i aktuell kommune (sjå kommunen si heimeside)</w:t>
            </w:r>
          </w:p>
          <w:p w:rsidR="00EC15A5" w:rsidRPr="00EC15A5" w:rsidP="00ED70D0" w14:paraId="22B00F92" w14:textId="77777777">
            <w:pPr>
              <w:numPr>
                <w:ilvl w:val="12"/>
                <w:numId w:val="0"/>
              </w:numPr>
              <w:spacing w:before="120"/>
              <w:rPr>
                <w:sz w:val="16"/>
                <w:szCs w:val="16"/>
              </w:rPr>
            </w:pPr>
          </w:p>
          <w:p w:rsidR="002B6C1C" w:rsidRPr="00685CF9" w14:paraId="22B00F93" w14:textId="77777777">
            <w:pPr>
              <w:rPr>
                <w:sz w:val="16"/>
                <w:szCs w:val="16"/>
              </w:rPr>
            </w:pPr>
          </w:p>
        </w:tc>
      </w:tr>
      <w:tr w14:paraId="22B00F9B" w14:textId="77777777" w:rsidTr="00EC15A5">
        <w:tblPrEx>
          <w:tblW w:w="0" w:type="auto"/>
          <w:tblLook w:val="04A0"/>
        </w:tblPrEx>
        <w:tc>
          <w:tcPr>
            <w:tcW w:w="1186" w:type="dxa"/>
          </w:tcPr>
          <w:p w:rsidR="002B6C1C" w:rsidRPr="00685CF9" w14:paraId="22B00F95" w14:textId="77777777">
            <w:pPr>
              <w:rPr>
                <w:sz w:val="16"/>
                <w:szCs w:val="16"/>
              </w:rPr>
            </w:pPr>
          </w:p>
        </w:tc>
        <w:tc>
          <w:tcPr>
            <w:tcW w:w="1503" w:type="dxa"/>
          </w:tcPr>
          <w:p w:rsidR="002B6C1C" w:rsidRPr="00685CF9" w14:paraId="22B00F96" w14:textId="77777777">
            <w:pPr>
              <w:rPr>
                <w:sz w:val="16"/>
                <w:szCs w:val="16"/>
              </w:rPr>
            </w:pPr>
            <w:r>
              <w:rPr>
                <w:sz w:val="16"/>
                <w:szCs w:val="16"/>
              </w:rPr>
              <w:t>Oppfølging av eleven, og konkrete tiltak for å hindre negative konsekvenser og eskalering</w:t>
            </w:r>
          </w:p>
        </w:tc>
        <w:tc>
          <w:tcPr>
            <w:tcW w:w="1241" w:type="dxa"/>
          </w:tcPr>
          <w:p w:rsidR="002B6C1C" w:rsidRPr="00685CF9" w14:paraId="22B00F97" w14:textId="77777777">
            <w:pPr>
              <w:rPr>
                <w:sz w:val="16"/>
                <w:szCs w:val="16"/>
              </w:rPr>
            </w:pPr>
            <w:r>
              <w:rPr>
                <w:sz w:val="16"/>
                <w:szCs w:val="16"/>
              </w:rPr>
              <w:t>Rektor med delegert myndighet, politi, barnevern</w:t>
            </w:r>
          </w:p>
        </w:tc>
        <w:tc>
          <w:tcPr>
            <w:tcW w:w="5528" w:type="dxa"/>
          </w:tcPr>
          <w:p w:rsidR="002B6C1C" w14:paraId="22B00F98" w14:textId="77777777">
            <w:pPr>
              <w:rPr>
                <w:sz w:val="16"/>
                <w:szCs w:val="16"/>
              </w:rPr>
            </w:pPr>
            <w:r>
              <w:rPr>
                <w:sz w:val="16"/>
                <w:szCs w:val="16"/>
              </w:rPr>
              <w:t xml:space="preserve">Det avklares hvilke grupper </w:t>
            </w:r>
            <w:r>
              <w:rPr>
                <w:sz w:val="16"/>
                <w:szCs w:val="16"/>
              </w:rPr>
              <w:t xml:space="preserve">som tar oppfølging videre. </w:t>
            </w:r>
          </w:p>
          <w:p w:rsidR="00ED70D0" w14:paraId="22B00F99" w14:textId="77777777">
            <w:pPr>
              <w:rPr>
                <w:sz w:val="16"/>
                <w:szCs w:val="16"/>
              </w:rPr>
            </w:pPr>
          </w:p>
          <w:p w:rsidR="00ED70D0" w:rsidRPr="00685CF9" w14:paraId="22B00F9A" w14:textId="043D1C80">
            <w:pPr>
              <w:rPr>
                <w:sz w:val="16"/>
                <w:szCs w:val="16"/>
              </w:rPr>
            </w:pPr>
            <w:r w:rsidRPr="00EC15A5">
              <w:rPr>
                <w:sz w:val="16"/>
                <w:szCs w:val="16"/>
              </w:rPr>
              <w:t>M</w:t>
            </w:r>
            <w:r>
              <w:rPr>
                <w:sz w:val="16"/>
                <w:szCs w:val="16"/>
              </w:rPr>
              <w:t>ulige</w:t>
            </w:r>
            <w:r w:rsidRPr="00EC15A5">
              <w:rPr>
                <w:sz w:val="16"/>
                <w:szCs w:val="16"/>
              </w:rPr>
              <w:t xml:space="preserve"> tiltak kan vere dialog, ansvarsgruppe, mentorordning.</w:t>
            </w:r>
          </w:p>
        </w:tc>
      </w:tr>
      <w:tr w14:paraId="22B00FA0" w14:textId="77777777" w:rsidTr="00EC15A5">
        <w:tblPrEx>
          <w:tblW w:w="0" w:type="auto"/>
          <w:tblLook w:val="04A0"/>
        </w:tblPrEx>
        <w:tc>
          <w:tcPr>
            <w:tcW w:w="1186" w:type="dxa"/>
          </w:tcPr>
          <w:p w:rsidR="002B6C1C" w:rsidRPr="00685CF9" w14:paraId="22B00F9C" w14:textId="77777777">
            <w:pPr>
              <w:rPr>
                <w:sz w:val="16"/>
                <w:szCs w:val="16"/>
              </w:rPr>
            </w:pPr>
          </w:p>
        </w:tc>
        <w:tc>
          <w:tcPr>
            <w:tcW w:w="1503" w:type="dxa"/>
          </w:tcPr>
          <w:p w:rsidR="002B6C1C" w:rsidRPr="00685CF9" w14:paraId="22B00F9D" w14:textId="77777777">
            <w:pPr>
              <w:rPr>
                <w:sz w:val="16"/>
                <w:szCs w:val="16"/>
              </w:rPr>
            </w:pPr>
          </w:p>
        </w:tc>
        <w:tc>
          <w:tcPr>
            <w:tcW w:w="1241" w:type="dxa"/>
          </w:tcPr>
          <w:p w:rsidR="002B6C1C" w:rsidRPr="00685CF9" w14:paraId="22B00F9E" w14:textId="77777777">
            <w:pPr>
              <w:rPr>
                <w:sz w:val="16"/>
                <w:szCs w:val="16"/>
              </w:rPr>
            </w:pPr>
          </w:p>
        </w:tc>
        <w:tc>
          <w:tcPr>
            <w:tcW w:w="5528" w:type="dxa"/>
          </w:tcPr>
          <w:p w:rsidR="002B6C1C" w:rsidRPr="00685CF9" w14:paraId="22B00F9F" w14:textId="77777777">
            <w:pPr>
              <w:rPr>
                <w:sz w:val="16"/>
                <w:szCs w:val="16"/>
              </w:rPr>
            </w:pPr>
          </w:p>
        </w:tc>
      </w:tr>
    </w:tbl>
    <w:p w:rsidR="002B6C1C" w14:paraId="22B00FA1" w14:textId="77777777"/>
    <w:p w:rsidR="0052577D" w14:paraId="22B00FA2" w14:textId="77777777"/>
    <w:p w:rsidR="0052577D" w14:paraId="22B00FA3" w14:textId="77777777"/>
    <w:p w:rsidR="0052577D" w14:paraId="22B00FA4" w14:textId="77777777">
      <w:pPr>
        <w:pStyle w:val="Normal2"/>
      </w:pPr>
    </w:p>
    <w:p w:rsidR="0052577D" w14:paraId="22B00FA5"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22B00FA9" w14:textId="2EF9116B">
      <w:pPr>
        <w:pStyle w:val="Punktheading"/>
      </w:pPr>
      <w:bookmarkEnd w:id="1"/>
      <w:r>
        <w:t>Eksterne referanser</w:t>
      </w:r>
      <w:r>
        <w:br/>
      </w:r>
      <w:r>
        <w:br/>
        <w:t>VLFK sin plan mot radikalisering og ekstremisme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22B00FAC" w14:textId="77777777">
      <w:pPr>
        <w:pStyle w:val="Normal2"/>
      </w:pPr>
      <w:bookmarkEnd w:id="2"/>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graC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2B00F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14:paraId="22B00FB8"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22B00FB5"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19.06.2025</w:t>
          </w:r>
          <w:r>
            <w:rPr>
              <w:i w:val="0"/>
              <w:sz w:val="20"/>
            </w:rPr>
            <w:fldChar w:fldCharType="end"/>
          </w:r>
        </w:p>
      </w:tc>
      <w:tc>
        <w:tcPr>
          <w:tcW w:w="3402" w:type="dxa"/>
          <w:tcBorders>
            <w:top w:val="single" w:sz="4" w:space="0" w:color="auto"/>
          </w:tcBorders>
        </w:tcPr>
        <w:p w:rsidR="008348DF" w:rsidP="008348DF" w14:paraId="22B00FB6"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22B00FB7"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KS2017.2.1.8-68</w:t>
          </w:r>
          <w:r>
            <w:rPr>
              <w:i w:val="0"/>
              <w:sz w:val="20"/>
            </w:rPr>
            <w:fldChar w:fldCharType="end"/>
          </w:r>
        </w:p>
      </w:tc>
    </w:tr>
    <w:tr w14:paraId="22B00FBC" w14:textId="77777777" w:rsidTr="008348DF">
      <w:tblPrEx>
        <w:tblW w:w="0" w:type="auto"/>
        <w:tblLayout w:type="fixed"/>
        <w:tblCellMar>
          <w:left w:w="70" w:type="dxa"/>
          <w:right w:w="70" w:type="dxa"/>
        </w:tblCellMar>
        <w:tblLook w:val="0000"/>
      </w:tblPrEx>
      <w:tc>
        <w:tcPr>
          <w:tcW w:w="3189" w:type="dxa"/>
        </w:tcPr>
        <w:p w:rsidR="008348DF" w:rsidP="008348DF" w14:paraId="22B00FB9"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22B00FBA"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22B00FBB"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22B00FBD"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2B00F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22B00FAD"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2B00FB2"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22B00FAE"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22B00F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22B00FB0"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22B00FB1"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22B00F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2B00F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E3F7F"/>
    <w:rsid w:val="00136820"/>
    <w:rsid w:val="0018372A"/>
    <w:rsid w:val="001D40A2"/>
    <w:rsid w:val="002A0407"/>
    <w:rsid w:val="002B6C1C"/>
    <w:rsid w:val="003B4961"/>
    <w:rsid w:val="003C6DAE"/>
    <w:rsid w:val="004323E1"/>
    <w:rsid w:val="004C00E8"/>
    <w:rsid w:val="004E6573"/>
    <w:rsid w:val="0051404E"/>
    <w:rsid w:val="0052577D"/>
    <w:rsid w:val="005C51C7"/>
    <w:rsid w:val="005E76BE"/>
    <w:rsid w:val="00685CF9"/>
    <w:rsid w:val="00741D74"/>
    <w:rsid w:val="00742174"/>
    <w:rsid w:val="007A7A3C"/>
    <w:rsid w:val="007E5813"/>
    <w:rsid w:val="008348DF"/>
    <w:rsid w:val="0086091A"/>
    <w:rsid w:val="00893324"/>
    <w:rsid w:val="008D11BF"/>
    <w:rsid w:val="008D52AE"/>
    <w:rsid w:val="00922FFB"/>
    <w:rsid w:val="009626F1"/>
    <w:rsid w:val="00A62371"/>
    <w:rsid w:val="00A81B36"/>
    <w:rsid w:val="00B43266"/>
    <w:rsid w:val="00B87497"/>
    <w:rsid w:val="00BF5B13"/>
    <w:rsid w:val="00C04BAF"/>
    <w:rsid w:val="00C760BD"/>
    <w:rsid w:val="00CA6626"/>
    <w:rsid w:val="00CC5637"/>
    <w:rsid w:val="00CF0DEE"/>
    <w:rsid w:val="00D217AA"/>
    <w:rsid w:val="00D64EEC"/>
    <w:rsid w:val="00D871B1"/>
    <w:rsid w:val="00E35F25"/>
    <w:rsid w:val="00E506A8"/>
    <w:rsid w:val="00EC15A5"/>
    <w:rsid w:val="00ED70D0"/>
    <w:rsid w:val="00F064EF"/>
    <w:rsid w:val="00F10EB6"/>
    <w:rsid w:val="00F54B7C"/>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TableGrid">
    <w:name w:val="Table Grid"/>
    <w:basedOn w:val="TableNormal"/>
    <w:rsid w:val="002B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F9"/>
    <w:rPr>
      <w:color w:val="0000FF"/>
      <w:u w:val="single"/>
    </w:rPr>
  </w:style>
  <w:style w:type="paragraph" w:customStyle="1" w:styleId="Default">
    <w:name w:val="Default"/>
    <w:rsid w:val="00EC15A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33</TotalTime>
  <Pages>2</Pages>
  <Words>609</Words>
  <Characters>4102</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Radikalisering og Voldelig Ekstremisme</dc:title>
  <dc:subject>Standard Bokmål|[RefNr]|</dc:subject>
  <dc:creator>Handbok</dc:creator>
  <cp:lastModifiedBy>Eirik Ørn</cp:lastModifiedBy>
  <cp:revision>5</cp:revision>
  <cp:lastPrinted>2008-01-07T10:39:00Z</cp:lastPrinted>
  <dcterms:created xsi:type="dcterms:W3CDTF">2020-07-14T08:29:00Z</dcterms:created>
  <dcterms:modified xsi:type="dcterms:W3CDTF">2021-06-25T08:20:00Z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Radikalisering og Voldelig Ekstremisme</vt:lpwstr>
  </property>
  <property fmtid="{D5CDD505-2E9C-101B-9397-08002B2CF9AE}" pid="4" name="EK_GjelderFra">
    <vt:lpwstr>19.06.2025</vt:lpwstr>
  </property>
  <property fmtid="{D5CDD505-2E9C-101B-9397-08002B2CF9AE}" pid="5" name="EK_RefNr">
    <vt:lpwstr>KS2017.2.1.8-68</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